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DCDD" w14:textId="77777777" w:rsidR="00784E7A" w:rsidRDefault="005F6C87" w:rsidP="00146BD4">
      <w:pPr>
        <w:autoSpaceDE w:val="0"/>
        <w:autoSpaceDN w:val="0"/>
        <w:adjustRightInd w:val="0"/>
        <w:spacing w:after="0"/>
        <w:ind w:firstLine="709"/>
        <w:jc w:val="center"/>
        <w:rPr>
          <w:rFonts w:ascii="Times New Roman" w:hAnsi="Times New Roman"/>
          <w:b/>
          <w:color w:val="58585A"/>
          <w:sz w:val="28"/>
          <w:szCs w:val="28"/>
          <w:lang w:val="sk-SK"/>
        </w:rPr>
      </w:pPr>
      <w:r w:rsidRPr="005F6C87">
        <w:rPr>
          <w:rFonts w:ascii="Times New Roman" w:hAnsi="Times New Roman"/>
          <w:b/>
          <w:color w:val="58585A"/>
          <w:sz w:val="28"/>
          <w:szCs w:val="28"/>
          <w:lang w:val="sk-SK"/>
        </w:rPr>
        <w:t xml:space="preserve">Oznámenie o výpočte ceny za dodávku silovej elektriny </w:t>
      </w:r>
    </w:p>
    <w:p w14:paraId="2C033400" w14:textId="6DE51516" w:rsidR="005F6C87" w:rsidRPr="005F6C87" w:rsidRDefault="005F6C87" w:rsidP="00146BD4">
      <w:pPr>
        <w:autoSpaceDE w:val="0"/>
        <w:autoSpaceDN w:val="0"/>
        <w:adjustRightInd w:val="0"/>
        <w:spacing w:after="0"/>
        <w:ind w:firstLine="709"/>
        <w:jc w:val="center"/>
        <w:rPr>
          <w:rFonts w:ascii="Times New Roman" w:hAnsi="Times New Roman"/>
          <w:color w:val="323232"/>
          <w:sz w:val="24"/>
          <w:szCs w:val="24"/>
          <w:lang w:val="sk-SK"/>
        </w:rPr>
      </w:pPr>
      <w:r w:rsidRPr="005F6C87">
        <w:rPr>
          <w:rFonts w:ascii="Times New Roman" w:hAnsi="Times New Roman"/>
          <w:b/>
          <w:color w:val="58585A"/>
          <w:sz w:val="28"/>
          <w:szCs w:val="28"/>
          <w:lang w:val="sk-SK"/>
        </w:rPr>
        <w:t>na rok 2024</w:t>
      </w:r>
    </w:p>
    <w:p w14:paraId="1B13C8B9" w14:textId="6D33C51A" w:rsidR="003A319F" w:rsidRPr="004F4843" w:rsidRDefault="00CC2CA8" w:rsidP="00CD6A01">
      <w:pPr>
        <w:ind w:left="4963"/>
        <w:contextualSpacing/>
        <w:rPr>
          <w:rFonts w:ascii="Times New Roman" w:hAnsi="Times New Roman"/>
          <w:b/>
          <w:color w:val="58585A"/>
          <w:lang w:val="sk-SK"/>
        </w:rPr>
      </w:pPr>
      <w:r w:rsidRPr="004F4843">
        <w:rPr>
          <w:rFonts w:ascii="Times New Roman" w:hAnsi="Times New Roman"/>
          <w:b/>
          <w:color w:val="58585A"/>
          <w:lang w:val="sk-SK"/>
        </w:rPr>
        <w:tab/>
      </w:r>
      <w:r w:rsidRPr="004F4843">
        <w:rPr>
          <w:rFonts w:ascii="Times New Roman" w:hAnsi="Times New Roman"/>
          <w:b/>
          <w:color w:val="58585A"/>
          <w:lang w:val="sk-SK"/>
        </w:rPr>
        <w:tab/>
      </w:r>
    </w:p>
    <w:p w14:paraId="1506FA12" w14:textId="77777777" w:rsidR="00613412" w:rsidRDefault="00CE151F" w:rsidP="00FB1F02">
      <w:pPr>
        <w:autoSpaceDE w:val="0"/>
        <w:autoSpaceDN w:val="0"/>
        <w:adjustRightInd w:val="0"/>
        <w:ind w:left="720" w:firstLine="720"/>
        <w:jc w:val="both"/>
        <w:rPr>
          <w:rFonts w:ascii="Times New Roman" w:hAnsi="Times New Roman"/>
          <w:color w:val="323232"/>
          <w:sz w:val="20"/>
          <w:szCs w:val="20"/>
          <w:lang w:val="sk-SK"/>
        </w:rPr>
      </w:pPr>
      <w:r>
        <w:rPr>
          <w:rFonts w:ascii="Times New Roman" w:hAnsi="Times New Roman"/>
          <w:color w:val="323232"/>
          <w:sz w:val="20"/>
          <w:szCs w:val="20"/>
          <w:lang w:val="sk-SK"/>
        </w:rPr>
        <w:t xml:space="preserve">Oznamujeme </w:t>
      </w:r>
      <w:r w:rsidR="00F13DFE" w:rsidRPr="004F4843">
        <w:rPr>
          <w:rFonts w:ascii="Times New Roman" w:hAnsi="Times New Roman"/>
          <w:color w:val="323232"/>
          <w:sz w:val="20"/>
          <w:szCs w:val="20"/>
          <w:lang w:val="sk-SK"/>
        </w:rPr>
        <w:t>Vá</w:t>
      </w:r>
      <w:r w:rsidR="00CC2CA8" w:rsidRPr="004F4843">
        <w:rPr>
          <w:rFonts w:ascii="Times New Roman" w:hAnsi="Times New Roman"/>
          <w:color w:val="323232"/>
          <w:sz w:val="20"/>
          <w:szCs w:val="20"/>
          <w:lang w:val="sk-SK"/>
        </w:rPr>
        <w:t xml:space="preserve">m </w:t>
      </w:r>
      <w:r w:rsidR="007159D8" w:rsidRPr="004F4843">
        <w:rPr>
          <w:rFonts w:ascii="Times New Roman" w:hAnsi="Times New Roman"/>
          <w:color w:val="323232"/>
          <w:sz w:val="20"/>
          <w:szCs w:val="20"/>
          <w:lang w:val="sk-SK"/>
        </w:rPr>
        <w:t xml:space="preserve">jednotkovú </w:t>
      </w:r>
      <w:r w:rsidR="00633092" w:rsidRPr="004F4843">
        <w:rPr>
          <w:rFonts w:ascii="Times New Roman" w:hAnsi="Times New Roman"/>
          <w:b/>
          <w:color w:val="323232"/>
          <w:sz w:val="20"/>
          <w:szCs w:val="20"/>
          <w:lang w:val="sk-SK"/>
        </w:rPr>
        <w:t>cenu</w:t>
      </w:r>
      <w:r w:rsidR="00CC2CA8" w:rsidRPr="004F4843">
        <w:rPr>
          <w:rFonts w:ascii="Times New Roman" w:hAnsi="Times New Roman"/>
          <w:b/>
          <w:color w:val="323232"/>
          <w:sz w:val="20"/>
          <w:szCs w:val="20"/>
          <w:lang w:val="sk-SK"/>
        </w:rPr>
        <w:t xml:space="preserve"> </w:t>
      </w:r>
      <w:r w:rsidR="005D20FA" w:rsidRPr="004F4843">
        <w:rPr>
          <w:rFonts w:ascii="Times New Roman" w:hAnsi="Times New Roman"/>
          <w:b/>
          <w:color w:val="323232"/>
          <w:sz w:val="20"/>
          <w:szCs w:val="20"/>
          <w:lang w:val="sk-SK"/>
        </w:rPr>
        <w:t xml:space="preserve">za dodávku </w:t>
      </w:r>
      <w:r w:rsidR="00633092" w:rsidRPr="004F4843">
        <w:rPr>
          <w:rFonts w:ascii="Times New Roman" w:hAnsi="Times New Roman"/>
          <w:b/>
          <w:color w:val="323232"/>
          <w:sz w:val="20"/>
          <w:szCs w:val="20"/>
          <w:lang w:val="sk-SK"/>
        </w:rPr>
        <w:t xml:space="preserve">silovej </w:t>
      </w:r>
      <w:r w:rsidR="005D20FA" w:rsidRPr="004F4843">
        <w:rPr>
          <w:rFonts w:ascii="Times New Roman" w:hAnsi="Times New Roman"/>
          <w:b/>
          <w:color w:val="323232"/>
          <w:sz w:val="20"/>
          <w:szCs w:val="20"/>
          <w:lang w:val="sk-SK"/>
        </w:rPr>
        <w:t xml:space="preserve">elektriny </w:t>
      </w:r>
      <w:r w:rsidR="00CC2CA8" w:rsidRPr="004F4843">
        <w:rPr>
          <w:rFonts w:ascii="Times New Roman" w:hAnsi="Times New Roman"/>
          <w:b/>
          <w:color w:val="323232"/>
          <w:sz w:val="20"/>
          <w:szCs w:val="20"/>
          <w:lang w:val="sk-SK"/>
        </w:rPr>
        <w:t xml:space="preserve">na </w:t>
      </w:r>
      <w:r w:rsidR="007159D8" w:rsidRPr="004F4843">
        <w:rPr>
          <w:rFonts w:ascii="Times New Roman" w:hAnsi="Times New Roman"/>
          <w:b/>
          <w:color w:val="323232"/>
          <w:sz w:val="20"/>
          <w:szCs w:val="20"/>
          <w:lang w:val="sk-SK"/>
        </w:rPr>
        <w:t>obdobie od 1.1.202</w:t>
      </w:r>
      <w:r w:rsidR="00B438CC" w:rsidRPr="004F4843">
        <w:rPr>
          <w:rFonts w:ascii="Times New Roman" w:hAnsi="Times New Roman"/>
          <w:b/>
          <w:color w:val="323232"/>
          <w:sz w:val="20"/>
          <w:szCs w:val="20"/>
          <w:lang w:val="sk-SK"/>
        </w:rPr>
        <w:t>4</w:t>
      </w:r>
      <w:r w:rsidR="007159D8" w:rsidRPr="004F4843">
        <w:rPr>
          <w:rFonts w:ascii="Times New Roman" w:hAnsi="Times New Roman"/>
          <w:b/>
          <w:color w:val="323232"/>
          <w:sz w:val="20"/>
          <w:szCs w:val="20"/>
          <w:lang w:val="sk-SK"/>
        </w:rPr>
        <w:t xml:space="preserve"> do 31.12.202</w:t>
      </w:r>
      <w:r w:rsidR="00B438CC" w:rsidRPr="004F4843">
        <w:rPr>
          <w:rFonts w:ascii="Times New Roman" w:hAnsi="Times New Roman"/>
          <w:b/>
          <w:color w:val="323232"/>
          <w:sz w:val="20"/>
          <w:szCs w:val="20"/>
          <w:lang w:val="sk-SK"/>
        </w:rPr>
        <w:t>4</w:t>
      </w:r>
      <w:r w:rsidR="007159D8" w:rsidRPr="004F4843">
        <w:rPr>
          <w:rFonts w:ascii="Times New Roman" w:hAnsi="Times New Roman"/>
          <w:b/>
          <w:color w:val="323232"/>
          <w:sz w:val="20"/>
          <w:szCs w:val="20"/>
          <w:lang w:val="sk-SK"/>
        </w:rPr>
        <w:t xml:space="preserve"> </w:t>
      </w:r>
      <w:r w:rsidR="007159D8" w:rsidRPr="004F4843">
        <w:rPr>
          <w:rFonts w:ascii="Times New Roman" w:hAnsi="Times New Roman"/>
          <w:bCs/>
          <w:color w:val="323232"/>
          <w:sz w:val="20"/>
          <w:szCs w:val="20"/>
          <w:lang w:val="sk-SK"/>
        </w:rPr>
        <w:t>(ďalej len „ Zmluvné obdobie“)</w:t>
      </w:r>
      <w:r w:rsidR="00613412">
        <w:rPr>
          <w:rFonts w:ascii="Times New Roman" w:hAnsi="Times New Roman"/>
          <w:bCs/>
          <w:color w:val="323232"/>
          <w:sz w:val="20"/>
          <w:szCs w:val="20"/>
          <w:lang w:val="sk-SK"/>
        </w:rPr>
        <w:t xml:space="preserve"> p</w:t>
      </w:r>
      <w:r w:rsidR="00613412">
        <w:rPr>
          <w:rFonts w:ascii="Times New Roman" w:hAnsi="Times New Roman"/>
          <w:color w:val="323232"/>
          <w:sz w:val="20"/>
          <w:szCs w:val="20"/>
          <w:lang w:val="sk-SK"/>
        </w:rPr>
        <w:t>re odberné miesta</w:t>
      </w:r>
      <w:r w:rsidR="00613412" w:rsidRPr="004F4843">
        <w:rPr>
          <w:rFonts w:ascii="Times New Roman" w:hAnsi="Times New Roman"/>
          <w:color w:val="323232"/>
          <w:sz w:val="20"/>
          <w:szCs w:val="20"/>
          <w:lang w:val="sk-SK"/>
        </w:rPr>
        <w:t xml:space="preserve"> v obchodnom centre BORY MALL</w:t>
      </w:r>
      <w:r w:rsidR="00CC2CA8" w:rsidRPr="004F4843">
        <w:rPr>
          <w:rFonts w:ascii="Times New Roman" w:hAnsi="Times New Roman"/>
          <w:bCs/>
          <w:color w:val="323232"/>
          <w:sz w:val="20"/>
          <w:szCs w:val="20"/>
          <w:lang w:val="sk-SK"/>
        </w:rPr>
        <w:t>.</w:t>
      </w:r>
      <w:r w:rsidR="00CC2CA8" w:rsidRPr="004F4843">
        <w:rPr>
          <w:rFonts w:ascii="Times New Roman" w:hAnsi="Times New Roman"/>
          <w:color w:val="323232"/>
          <w:sz w:val="20"/>
          <w:szCs w:val="20"/>
          <w:lang w:val="sk-SK"/>
        </w:rPr>
        <w:t xml:space="preserve"> </w:t>
      </w:r>
    </w:p>
    <w:p w14:paraId="61DAE334" w14:textId="7AA131F8" w:rsidR="00FB1F02" w:rsidRPr="004F4843" w:rsidRDefault="00633092" w:rsidP="00FB1F02">
      <w:pPr>
        <w:autoSpaceDE w:val="0"/>
        <w:autoSpaceDN w:val="0"/>
        <w:adjustRightInd w:val="0"/>
        <w:ind w:left="720" w:firstLine="720"/>
        <w:jc w:val="both"/>
        <w:rPr>
          <w:rFonts w:ascii="Times New Roman" w:hAnsi="Times New Roman"/>
          <w:color w:val="323232"/>
          <w:sz w:val="20"/>
          <w:szCs w:val="20"/>
          <w:lang w:val="sk-SK"/>
        </w:rPr>
      </w:pPr>
      <w:r w:rsidRPr="004F4843">
        <w:rPr>
          <w:rFonts w:ascii="Times New Roman" w:hAnsi="Times New Roman"/>
          <w:color w:val="323232"/>
          <w:sz w:val="20"/>
          <w:szCs w:val="20"/>
          <w:lang w:val="sk-SK"/>
        </w:rPr>
        <w:t>S účinnosťou od 1.1.20</w:t>
      </w:r>
      <w:r w:rsidR="009B4279" w:rsidRPr="004F4843">
        <w:rPr>
          <w:rFonts w:ascii="Times New Roman" w:hAnsi="Times New Roman"/>
          <w:color w:val="323232"/>
          <w:sz w:val="20"/>
          <w:szCs w:val="20"/>
          <w:lang w:val="sk-SK"/>
        </w:rPr>
        <w:t>2</w:t>
      </w:r>
      <w:r w:rsidR="00B438CC" w:rsidRPr="004F4843">
        <w:rPr>
          <w:rFonts w:ascii="Times New Roman" w:hAnsi="Times New Roman"/>
          <w:color w:val="323232"/>
          <w:sz w:val="20"/>
          <w:szCs w:val="20"/>
          <w:lang w:val="sk-SK"/>
        </w:rPr>
        <w:t>4</w:t>
      </w:r>
      <w:r w:rsidRPr="004F4843">
        <w:rPr>
          <w:rFonts w:ascii="Times New Roman" w:hAnsi="Times New Roman"/>
          <w:color w:val="323232"/>
          <w:sz w:val="20"/>
          <w:szCs w:val="20"/>
          <w:lang w:val="sk-SK"/>
        </w:rPr>
        <w:t xml:space="preserve"> </w:t>
      </w:r>
      <w:bookmarkStart w:id="0" w:name="_Ref515895217"/>
      <w:r w:rsidR="007159D8" w:rsidRPr="004F4843">
        <w:rPr>
          <w:rFonts w:ascii="Times New Roman" w:hAnsi="Times New Roman"/>
          <w:color w:val="323232"/>
          <w:sz w:val="20"/>
          <w:szCs w:val="20"/>
          <w:lang w:val="sk-SK"/>
        </w:rPr>
        <w:t>jednotková cena za dodávku elektriny sa určí nasledujúcim spôsobom:</w:t>
      </w:r>
    </w:p>
    <w:p w14:paraId="254B19EF" w14:textId="6AEFE3D5" w:rsidR="00FB1F02" w:rsidRDefault="007159D8" w:rsidP="00FB1F02">
      <w:pPr>
        <w:autoSpaceDE w:val="0"/>
        <w:autoSpaceDN w:val="0"/>
        <w:adjustRightInd w:val="0"/>
        <w:ind w:left="720" w:firstLine="720"/>
        <w:jc w:val="both"/>
        <w:rPr>
          <w:rFonts w:ascii="Times New Roman" w:hAnsi="Times New Roman"/>
          <w:sz w:val="20"/>
          <w:szCs w:val="20"/>
          <w:lang w:val="sk-SK"/>
        </w:rPr>
      </w:pPr>
      <w:r w:rsidRPr="004F4843">
        <w:rPr>
          <w:rFonts w:ascii="Times New Roman" w:hAnsi="Times New Roman"/>
          <w:color w:val="323232"/>
          <w:sz w:val="20"/>
          <w:szCs w:val="20"/>
          <w:lang w:val="sk-SK"/>
        </w:rPr>
        <w:t>Jednotková cena za dodávku elektriny (€/MWh) sa určí samostatne</w:t>
      </w:r>
      <w:r w:rsidRPr="004F4843" w:rsidDel="002476E4">
        <w:rPr>
          <w:rFonts w:ascii="Times New Roman" w:hAnsi="Times New Roman"/>
          <w:color w:val="323232"/>
          <w:sz w:val="20"/>
          <w:szCs w:val="20"/>
          <w:lang w:val="sk-SK"/>
        </w:rPr>
        <w:t xml:space="preserve"> </w:t>
      </w:r>
      <w:r w:rsidRPr="004F4843">
        <w:rPr>
          <w:rFonts w:ascii="Times New Roman" w:hAnsi="Times New Roman"/>
          <w:color w:val="323232"/>
          <w:sz w:val="20"/>
          <w:szCs w:val="20"/>
          <w:lang w:val="sk-SK"/>
        </w:rPr>
        <w:t>pre každý kalendárny mesiac Zmluvného obdobia (ďalej aj ako mesiac „M“),</w:t>
      </w:r>
      <w:r w:rsidR="00FB1F02" w:rsidRPr="004F4843">
        <w:rPr>
          <w:rFonts w:ascii="Times New Roman" w:hAnsi="Times New Roman"/>
          <w:b/>
          <w:bCs/>
          <w:sz w:val="20"/>
          <w:szCs w:val="20"/>
          <w:lang w:val="sk-SK"/>
        </w:rPr>
        <w:t xml:space="preserve"> </w:t>
      </w:r>
      <w:r w:rsidR="00FB1F02" w:rsidRPr="004F4843">
        <w:rPr>
          <w:rFonts w:ascii="Times New Roman" w:hAnsi="Times New Roman"/>
          <w:sz w:val="20"/>
          <w:szCs w:val="20"/>
          <w:lang w:val="sk-SK"/>
        </w:rPr>
        <w:t>na základe čiastkových nákupov (tranží) elektriny vykonaných pre celkový odber elektriny</w:t>
      </w:r>
      <w:r w:rsidR="00B41970">
        <w:rPr>
          <w:rFonts w:ascii="Times New Roman" w:hAnsi="Times New Roman"/>
          <w:sz w:val="20"/>
          <w:szCs w:val="20"/>
          <w:lang w:val="sk-SK"/>
        </w:rPr>
        <w:t xml:space="preserve"> odberných miest</w:t>
      </w:r>
      <w:r w:rsidR="00FB1F02" w:rsidRPr="004F4843">
        <w:rPr>
          <w:rFonts w:ascii="Times New Roman" w:hAnsi="Times New Roman"/>
          <w:sz w:val="20"/>
          <w:szCs w:val="20"/>
          <w:lang w:val="sk-SK"/>
        </w:rPr>
        <w:t xml:space="preserve"> </w:t>
      </w:r>
      <w:r w:rsidR="00FE1F57">
        <w:rPr>
          <w:rFonts w:ascii="Times New Roman" w:hAnsi="Times New Roman"/>
          <w:sz w:val="20"/>
          <w:szCs w:val="20"/>
          <w:lang w:val="sk-SK"/>
        </w:rPr>
        <w:t>skupiny PENTA</w:t>
      </w:r>
      <w:r w:rsidR="00FB1F02" w:rsidRPr="004F4843">
        <w:rPr>
          <w:rFonts w:ascii="Times New Roman" w:hAnsi="Times New Roman"/>
          <w:sz w:val="20"/>
          <w:szCs w:val="20"/>
          <w:lang w:val="sk-SK"/>
        </w:rPr>
        <w:t xml:space="preserve"> vo Forwardovom nákupe a následných dokupov </w:t>
      </w:r>
      <w:r w:rsidR="00FB1F02" w:rsidRPr="004F4843">
        <w:rPr>
          <w:rFonts w:ascii="Times New Roman" w:hAnsi="Times New Roman"/>
          <w:color w:val="000000"/>
          <w:sz w:val="20"/>
          <w:szCs w:val="20"/>
          <w:lang w:val="sk-SK"/>
        </w:rPr>
        <w:t xml:space="preserve">chýbajúceho, resp. odpredajov prebytočného množstva elektriny v jednotlivých hodinách „h“ mesiaca „M“ na krátkodobom (spotovom) trhu s elektrinou podľa skutočnej spotreby elektriny </w:t>
      </w:r>
      <w:r w:rsidR="00FB1F02" w:rsidRPr="004F4843">
        <w:rPr>
          <w:rFonts w:ascii="Times New Roman" w:hAnsi="Times New Roman"/>
          <w:sz w:val="20"/>
          <w:szCs w:val="20"/>
          <w:lang w:val="sk-SK"/>
        </w:rPr>
        <w:t>celkového odberu elektriny</w:t>
      </w:r>
      <w:r w:rsidR="004F4843">
        <w:rPr>
          <w:rFonts w:ascii="Times New Roman" w:hAnsi="Times New Roman"/>
          <w:sz w:val="20"/>
          <w:szCs w:val="20"/>
          <w:lang w:val="sk-SK"/>
        </w:rPr>
        <w:t xml:space="preserve"> </w:t>
      </w:r>
      <w:r w:rsidR="00985625">
        <w:rPr>
          <w:rFonts w:ascii="Times New Roman" w:hAnsi="Times New Roman"/>
          <w:sz w:val="20"/>
          <w:szCs w:val="20"/>
          <w:lang w:val="sk-SK"/>
        </w:rPr>
        <w:t>skupiny PENTA</w:t>
      </w:r>
      <w:r w:rsidR="00FB1F02" w:rsidRPr="004F4843">
        <w:rPr>
          <w:rFonts w:ascii="Times New Roman" w:hAnsi="Times New Roman"/>
          <w:sz w:val="20"/>
          <w:szCs w:val="20"/>
          <w:lang w:val="sk-SK"/>
        </w:rPr>
        <w:t xml:space="preserve">, a to výpočtom podľa nasledujúceho vzorca: </w:t>
      </w:r>
    </w:p>
    <w:p w14:paraId="17D3C36E" w14:textId="77777777" w:rsidR="000D0DB7" w:rsidRPr="00DF0012" w:rsidRDefault="000D0DB7" w:rsidP="00FB1F02">
      <w:pPr>
        <w:autoSpaceDE w:val="0"/>
        <w:autoSpaceDN w:val="0"/>
        <w:adjustRightInd w:val="0"/>
        <w:ind w:left="720" w:firstLine="720"/>
        <w:jc w:val="both"/>
        <w:rPr>
          <w:rFonts w:ascii="Times New Roman" w:hAnsi="Times New Roman"/>
          <w:sz w:val="20"/>
          <w:lang w:val="sk-SK"/>
        </w:rPr>
      </w:pPr>
    </w:p>
    <w:p w14:paraId="44FE638E" w14:textId="77777777" w:rsidR="00452C37" w:rsidRPr="004F4843" w:rsidRDefault="00785110" w:rsidP="00452C37">
      <w:pPr>
        <w:autoSpaceDE w:val="0"/>
        <w:autoSpaceDN w:val="0"/>
        <w:adjustRightInd w:val="0"/>
        <w:ind w:left="720" w:firstLine="720"/>
        <w:jc w:val="center"/>
        <w:rPr>
          <w:rFonts w:ascii="Times New Roman" w:hAnsi="Times New Roman"/>
          <w:color w:val="323232"/>
          <w:sz w:val="20"/>
          <w:szCs w:val="20"/>
          <w:lang w:val="sk-SK"/>
        </w:rPr>
      </w:pPr>
      <w:r>
        <w:pict w14:anchorId="2B505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5pt;height:3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425&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600&quot;/&gt;&lt;wsp:rsid wsp:val=&quot;0000184D&quot;/&gt;&lt;wsp:rsid wsp:val=&quot;000107EB&quot;/&gt;&lt;wsp:rsid wsp:val=&quot;00017A73&quot;/&gt;&lt;wsp:rsid wsp:val=&quot;00050CB9&quot;/&gt;&lt;wsp:rsid wsp:val=&quot;00051A5F&quot;/&gt;&lt;wsp:rsid wsp:val=&quot;0006084D&quot;/&gt;&lt;wsp:rsid wsp:val=&quot;000D0922&quot;/&gt;&lt;wsp:rsid wsp:val=&quot;00103729&quot;/&gt;&lt;wsp:rsid wsp:val=&quot;00143F26&quot;/&gt;&lt;wsp:rsid wsp:val=&quot;00156A7F&quot;/&gt;&lt;wsp:rsid wsp:val=&quot;00182D39&quot;/&gt;&lt;wsp:rsid wsp:val=&quot;001934A9&quot;/&gt;&lt;wsp:rsid wsp:val=&quot;001E1E3F&quot;/&gt;&lt;wsp:rsid wsp:val=&quot;001E1F6D&quot;/&gt;&lt;wsp:rsid wsp:val=&quot;001F6229&quot;/&gt;&lt;wsp:rsid wsp:val=&quot;0022443F&quot;/&gt;&lt;wsp:rsid wsp:val=&quot;00224E91&quot;/&gt;&lt;wsp:rsid wsp:val=&quot;0024738A&quot;/&gt;&lt;wsp:rsid wsp:val=&quot;002804A2&quot;/&gt;&lt;wsp:rsid wsp:val=&quot;0028134B&quot;/&gt;&lt;wsp:rsid wsp:val=&quot;0028378D&quot;/&gt;&lt;wsp:rsid wsp:val=&quot;00295717&quot;/&gt;&lt;wsp:rsid wsp:val=&quot;002A7802&quot;/&gt;&lt;wsp:rsid wsp:val=&quot;002C174C&quot;/&gt;&lt;wsp:rsid wsp:val=&quot;003343F0&quot;/&gt;&lt;wsp:rsid wsp:val=&quot;00361243&quot;/&gt;&lt;wsp:rsid wsp:val=&quot;00393C52&quot;/&gt;&lt;wsp:rsid wsp:val=&quot;003A319F&quot;/&gt;&lt;wsp:rsid wsp:val=&quot;003C03A2&quot;/&gt;&lt;wsp:rsid wsp:val=&quot;003D0D56&quot;/&gt;&lt;wsp:rsid wsp:val=&quot;00401AF5&quot;/&gt;&lt;wsp:rsid wsp:val=&quot;004144AB&quot;/&gt;&lt;wsp:rsid wsp:val=&quot;0041470D&quot;/&gt;&lt;wsp:rsid wsp:val=&quot;00452C37&quot;/&gt;&lt;wsp:rsid wsp:val=&quot;00495401&quot;/&gt;&lt;wsp:rsid wsp:val=&quot;004E0AFA&quot;/&gt;&lt;wsp:rsid wsp:val=&quot;004F4843&quot;/&gt;&lt;wsp:rsid wsp:val=&quot;004F6FFA&quot;/&gt;&lt;wsp:rsid wsp:val=&quot;00503614&quot;/&gt;&lt;wsp:rsid wsp:val=&quot;00512599&quot;/&gt;&lt;wsp:rsid wsp:val=&quot;0052244C&quot;/&gt;&lt;wsp:rsid wsp:val=&quot;00541E33&quot;/&gt;&lt;wsp:rsid wsp:val=&quot;00543D21&quot;/&gt;&lt;wsp:rsid wsp:val=&quot;00545600&quot;/&gt;&lt;wsp:rsid wsp:val=&quot;005457BF&quot;/&gt;&lt;wsp:rsid wsp:val=&quot;00556F12&quot;/&gt;&lt;wsp:rsid wsp:val=&quot;005743FA&quot;/&gt;&lt;wsp:rsid wsp:val=&quot;00581A29&quot;/&gt;&lt;wsp:rsid wsp:val=&quot;005C3767&quot;/&gt;&lt;wsp:rsid wsp:val=&quot;005C55D7&quot;/&gt;&lt;wsp:rsid wsp:val=&quot;005D20FA&quot;/&gt;&lt;wsp:rsid wsp:val=&quot;005E24FD&quot;/&gt;&lt;wsp:rsid wsp:val=&quot;005F134B&quot;/&gt;&lt;wsp:rsid wsp:val=&quot;006037C1&quot;/&gt;&lt;wsp:rsid wsp:val=&quot;006242BF&quot;/&gt;&lt;wsp:rsid wsp:val=&quot;00633092&quot;/&gt;&lt;wsp:rsid wsp:val=&quot;00670C75&quot;/&gt;&lt;wsp:rsid wsp:val=&quot;0067115F&quot;/&gt;&lt;wsp:rsid wsp:val=&quot;00691AFF&quot;/&gt;&lt;wsp:rsid wsp:val=&quot;006A1753&quot;/&gt;&lt;wsp:rsid wsp:val=&quot;006B5A83&quot;/&gt;&lt;wsp:rsid wsp:val=&quot;006C0CCC&quot;/&gt;&lt;wsp:rsid wsp:val=&quot;006C6873&quot;/&gt;&lt;wsp:rsid wsp:val=&quot;006D36DC&quot;/&gt;&lt;wsp:rsid wsp:val=&quot;006D5F76&quot;/&gt;&lt;wsp:rsid wsp:val=&quot;006F5C19&quot;/&gt;&lt;wsp:rsid wsp:val=&quot;007159D8&quot;/&gt;&lt;wsp:rsid wsp:val=&quot;007437B2&quot;/&gt;&lt;wsp:rsid wsp:val=&quot;00746C6B&quot;/&gt;&lt;wsp:rsid wsp:val=&quot;00767BD0&quot;/&gt;&lt;wsp:rsid wsp:val=&quot;0079117F&quot;/&gt;&lt;wsp:rsid wsp:val=&quot;00793168&quot;/&gt;&lt;wsp:rsid wsp:val=&quot;007A47BA&quot;/&gt;&lt;wsp:rsid wsp:val=&quot;007A74E6&quot;/&gt;&lt;wsp:rsid wsp:val=&quot;007B5665&quot;/&gt;&lt;wsp:rsid wsp:val=&quot;007D1898&quot;/&gt;&lt;wsp:rsid wsp:val=&quot;007E6467&quot;/&gt;&lt;wsp:rsid wsp:val=&quot;007F30E8&quot;/&gt;&lt;wsp:rsid wsp:val=&quot;008028D2&quot;/&gt;&lt;wsp:rsid wsp:val=&quot;008061B6&quot;/&gt;&lt;wsp:rsid wsp:val=&quot;00811F31&quot;/&gt;&lt;wsp:rsid wsp:val=&quot;00832EED&quot;/&gt;&lt;wsp:rsid wsp:val=&quot;008349F7&quot;/&gt;&lt;wsp:rsid wsp:val=&quot;00867314&quot;/&gt;&lt;wsp:rsid wsp:val=&quot;00867909&quot;/&gt;&lt;wsp:rsid wsp:val=&quot;00891437&quot;/&gt;&lt;wsp:rsid wsp:val=&quot;008D7B1B&quot;/&gt;&lt;wsp:rsid wsp:val=&quot;00900318&quot;/&gt;&lt;wsp:rsid wsp:val=&quot;00914365&quot;/&gt;&lt;wsp:rsid wsp:val=&quot;009164BB&quot;/&gt;&lt;wsp:rsid wsp:val=&quot;00950875&quot;/&gt;&lt;wsp:rsid wsp:val=&quot;00984226&quot;/&gt;&lt;wsp:rsid wsp:val=&quot;009B3F8B&quot;/&gt;&lt;wsp:rsid wsp:val=&quot;009B4279&quot;/&gt;&lt;wsp:rsid wsp:val=&quot;009D6023&quot;/&gt;&lt;wsp:rsid wsp:val=&quot;00A130A0&quot;/&gt;&lt;wsp:rsid wsp:val=&quot;00A14275&quot;/&gt;&lt;wsp:rsid wsp:val=&quot;00A359A2&quot;/&gt;&lt;wsp:rsid wsp:val=&quot;00A44C07&quot;/&gt;&lt;wsp:rsid wsp:val=&quot;00A456A1&quot;/&gt;&lt;wsp:rsid wsp:val=&quot;00A70753&quot;/&gt;&lt;wsp:rsid wsp:val=&quot;00AB3823&quot;/&gt;&lt;wsp:rsid wsp:val=&quot;00AC5989&quot;/&gt;&lt;wsp:rsid wsp:val=&quot;00AD69E6&quot;/&gt;&lt;wsp:rsid wsp:val=&quot;00AE69B5&quot;/&gt;&lt;wsp:rsid wsp:val=&quot;00B438CC&quot;/&gt;&lt;wsp:rsid wsp:val=&quot;00B44ACF&quot;/&gt;&lt;wsp:rsid wsp:val=&quot;00BB257E&quot;/&gt;&lt;wsp:rsid wsp:val=&quot;00BF789F&quot;/&gt;&lt;wsp:rsid wsp:val=&quot;00BF78CF&quot;/&gt;&lt;wsp:rsid wsp:val=&quot;00C30F02&quot;/&gt;&lt;wsp:rsid wsp:val=&quot;00C32984&quot;/&gt;&lt;wsp:rsid wsp:val=&quot;00C43BFE&quot;/&gt;&lt;wsp:rsid wsp:val=&quot;00C72FEA&quot;/&gt;&lt;wsp:rsid wsp:val=&quot;00C82CEA&quot;/&gt;&lt;wsp:rsid wsp:val=&quot;00C90DDC&quot;/&gt;&lt;wsp:rsid wsp:val=&quot;00CC2CA8&quot;/&gt;&lt;wsp:rsid wsp:val=&quot;00CD6A01&quot;/&gt;&lt;wsp:rsid wsp:val=&quot;00CE6309&quot;/&gt;&lt;wsp:rsid wsp:val=&quot;00D52AE2&quot;/&gt;&lt;wsp:rsid wsp:val=&quot;00D82925&quot;/&gt;&lt;wsp:rsid wsp:val=&quot;00DA00B2&quot;/&gt;&lt;wsp:rsid wsp:val=&quot;00DA26E3&quot;/&gt;&lt;wsp:rsid wsp:val=&quot;00DB5F84&quot;/&gt;&lt;wsp:rsid wsp:val=&quot;00DD4C03&quot;/&gt;&lt;wsp:rsid wsp:val=&quot;00DD4C6E&quot;/&gt;&lt;wsp:rsid wsp:val=&quot;00DD5362&quot;/&gt;&lt;wsp:rsid wsp:val=&quot;00DD6B94&quot;/&gt;&lt;wsp:rsid wsp:val=&quot;00E1797B&quot;/&gt;&lt;wsp:rsid wsp:val=&quot;00E32536&quot;/&gt;&lt;wsp:rsid wsp:val=&quot;00E409AA&quot;/&gt;&lt;wsp:rsid wsp:val=&quot;00E54B8E&quot;/&gt;&lt;wsp:rsid wsp:val=&quot;00E569A5&quot;/&gt;&lt;wsp:rsid wsp:val=&quot;00E81D2A&quot;/&gt;&lt;wsp:rsid wsp:val=&quot;00E861AD&quot;/&gt;&lt;wsp:rsid wsp:val=&quot;00E926F9&quot;/&gt;&lt;wsp:rsid wsp:val=&quot;00EA07FB&quot;/&gt;&lt;wsp:rsid wsp:val=&quot;00EA0A8A&quot;/&gt;&lt;wsp:rsid wsp:val=&quot;00EA3F51&quot;/&gt;&lt;wsp:rsid wsp:val=&quot;00EF2289&quot;/&gt;&lt;wsp:rsid wsp:val=&quot;00F13DFE&quot;/&gt;&lt;wsp:rsid wsp:val=&quot;00F22986&quot;/&gt;&lt;wsp:rsid wsp:val=&quot;00F267B5&quot;/&gt;&lt;wsp:rsid wsp:val=&quot;00F34778&quot;/&gt;&lt;wsp:rsid wsp:val=&quot;00F445C2&quot;/&gt;&lt;wsp:rsid wsp:val=&quot;00F44D42&quot;/&gt;&lt;wsp:rsid wsp:val=&quot;00F45C96&quot;/&gt;&lt;wsp:rsid wsp:val=&quot;00F55E88&quot;/&gt;&lt;wsp:rsid wsp:val=&quot;00F67C68&quot;/&gt;&lt;wsp:rsid wsp:val=&quot;00F96316&quot;/&gt;&lt;wsp:rsid wsp:val=&quot;00F97227&quot;/&gt;&lt;wsp:rsid wsp:val=&quot;00FB1F02&quot;/&gt;&lt;wsp:rsid wsp:val=&quot;00FB37CE&quot;/&gt;&lt;wsp:rsid wsp:val=&quot;00FC459B&quot;/&gt;&lt;wsp:rsid wsp:val=&quot;00FD2429&quot;/&gt;&lt;wsp:rsid wsp:val=&quot;00FE00B9&quot;/&gt;&lt;/wsp:rsids&gt;&lt;/w:docPr&gt;&lt;w:body&gt;&lt;wx:sect&gt;&lt;w:p wsp:rsidR=&quot;006037C1&quot; wsp:rsidRPr=&quot;006037C1&quot; wsp:rsidRDefault=&quot;006037C1&quot; wsp:rsidP=&quot;006037C1&quot;&gt;&lt;m:oMathPara&gt;&lt;m:oMath&gt;&lt;m:f&gt;&lt;m:fPr&gt;&lt;m:ctrlPr&gt;&lt;w:rPr&gt;&lt;w:rFonts w:ascii=&quot;Cambria Math&quot; w:fareast=&quot;Aptos&quot; w:h-ansi=&quot;Cambria Math&quot; w:cs=&quot;Times New Roman&quot;/&gt;&lt;wx:font wx:val=&quot;Cambria Math&quot;/&gt;&lt;w:i/&gt;&lt;w:kern w:val=&quot;2&quot;/&gt;&lt;w:lang w:val=&quot;SK&quot;/&gt;&lt;/w:rPr&gt;&lt;/m:ctrlPr&gt;&lt;/m:fPr&gt;&lt;m:num&gt;&lt;m:r&gt;&lt;w:rPr&gt;&lt;w:rFonts w:ascii=&quot;Cambria Math&quot; w:h-ansi=&quot;Cambria Math&quot;/&gt;&lt;wx:font wx:val=&quot;Cambria Math&quot;/&gt;&lt;w:i/&gt;&lt;/w:rPr&gt;&lt;m:t&gt;ForwardovĂ˝ nĂˇkup+DokupSpot-odpredaj Spot&lt;/m:t&gt;&lt;/m:r&gt;&lt;/m:num&gt;&lt;m:den&gt;&lt;m:nary&gt;&lt;m:naryPr&gt;&lt;m:chr m:val=&quot;â‘&quot;/&gt;&lt;m:limLoc m:val=&quot;undOvr&quot;/&gt;&lt;m:ctrlPr&gt;&lt;w:rPr&gt;&lt;w:rFonts w:ascii=&quot;Cambria Math&quot; w:fareast=&quot;Aptos&quot; w:h-ansi=&quot;Cambria Math&quot; w:cs=&quot;Times New Roman&quot;/&gt;&lt;wx:font wx:val=&quot;Cambria Math&quot;/&gt;&lt;w:i/&gt;&lt;w:kern w:val=&quot;2&quot;/&gt;&lt;w:lang w:val=&quot;SK&quot;/&gt;&lt;/w:rPr&gt;&lt;/m:ctrlPr&gt;&lt;/m:naryPr&gt;&lt;m:sub&gt;&lt;m:r&gt;&lt;w:rPr&gt;&lt;w:rFonts w:ascii=&quot;Cambria Math&quot; w:h-ansi=&quot;Cambria Math&quot;/&gt;&lt;wx:font wx:val=&quot;Cambria Math&quot;/&gt;&lt;w:i/&gt;&lt;/w:rPr&gt;&lt;m:t&gt;h=1&lt;/m:t&gt;&lt;/m:r&gt;&lt;/m:sub&gt;&lt;m:sup&gt;&lt;m:r&gt;&lt;w:rPr&gt;&lt;w:rFonts w:ascii=&quot;Cambria Math&quot; w:h-ansi=&quot;Cambria Math&quot;/&gt;&lt;wx:font wx:val=&quot;Cambria Math&quot;/&gt;&lt;w:i/&gt;&lt;/w:rPr&gt;&lt;m:t&gt;m&lt;/m:t&gt;&lt;/m:r&gt;&lt;/m:sup&gt;&lt;m:e&gt;&lt;m:sSub&gt;&lt;m:sSubPr&gt;&lt;m:ctrlPr&gt;&lt;w:rPr&gt;&lt;w:rFonts w:ascii=&quot;Cambria Math&quot; w:fareast=&quot;Aptos&quot; w:h-ansi=&quot;Cambria Math&quot; w:cs=&quot;Times New Roman&quot;/&gt;&lt;wx:font wx:val=&quot;Cambria Math&quot;/&gt;&lt;w:i/&gt;&lt;w:kern w:val=&quot;2&quot;/&gt;&lt;w:lang w:val=&quot;SK&quot;/&gt;&lt;/w:rPr&gt;&lt;/m:ctrlPr&gt;&lt;/m:sSubPr&gt;&lt;m:e&gt;&lt;m:r&gt;&lt;w:rPr&gt;&lt;w:rFonts w:ascii=&quot;Cambria Math&quot; w:h-ansi=&quot;Cambria Math&quot;/&gt;&lt;wx:font wx:val=&quot;Cambria Math&quot;/&gt;&lt;w:i/&gt;&lt;/w:rPr&gt;&lt;m:t&gt;QM&lt;/m:t&gt;&lt;/m:r&gt;&lt;/m:e&gt;&lt;m:sub&gt;&lt;m:r&gt;&lt;w:rPr&gt;&lt;w:rFonts w:ascii=&quot;Cambria Math&quot; w:h-ansi=&quot;Cambria Math&quot;/&gt;&lt;wx:font wx:val=&quot;Cambria Math&quot;/&gt;&lt;w:i/&gt;&lt;/w:rPr&gt;&lt;m:t&gt;h&lt;/m:t&gt;&lt;/m:r&gt;&lt;/m:sub&gt;&lt;/m:sSub&gt;&lt;/m:e&gt;&lt;/m:nary&gt;&lt;/m:den&gt;&lt;/m:f&gt;&lt;/m:oMath&gt;&lt;/m:oMathPara&gt;&lt;/w:p&gt;&lt;w:sectPr wsp:rsidR=&quot;00000000&quot; wsp:rsidRPr=&quot;006037C1&quot;&gt;&lt;w:pgSz w:w=&quot;12240&quot; w:h=&quot;15840&quot;/&gt;&lt;w:pgMar w:top=&quot;1417&quot; w:right=&quot;1417&quot; w:bottom=&quot;1417&quot; w:left=&quot;1417&quot; w:header=&quot;708&quot; w:footer=&quot;708&quot; w:gutter=&quot;0&quot;/&gt;&lt;w:cols w:space=&quot;708&quot;/&gt;&lt;/w:sectPr&gt;&lt;/wx:sect&gt;&lt;/w:body&gt;&lt;/w:wordDocument&gt;">
            <v:imagedata r:id="rId14" o:title="" chromakey="white"/>
          </v:shape>
        </w:pict>
      </w:r>
    </w:p>
    <w:p w14:paraId="12317453" w14:textId="77777777" w:rsidR="00FB1F02" w:rsidRPr="004F4843" w:rsidRDefault="00FB1F02" w:rsidP="00FB1F02">
      <w:pPr>
        <w:pStyle w:val="tl1"/>
        <w:ind w:left="567" w:firstLine="0"/>
        <w:jc w:val="both"/>
        <w:rPr>
          <w:rFonts w:ascii="Times New Roman" w:hAnsi="Times New Roman"/>
        </w:rPr>
      </w:pPr>
      <w:r w:rsidRPr="004F4843">
        <w:rPr>
          <w:rFonts w:ascii="Times New Roman" w:hAnsi="Times New Roman"/>
        </w:rPr>
        <w:t> </w:t>
      </w:r>
    </w:p>
    <w:p w14:paraId="0E485964" w14:textId="77777777" w:rsidR="00FB1F02" w:rsidRPr="004F4843" w:rsidRDefault="00FB1F02" w:rsidP="00FB1F02">
      <w:pPr>
        <w:pStyle w:val="tl1"/>
        <w:ind w:left="1134" w:firstLine="0"/>
        <w:jc w:val="both"/>
        <w:rPr>
          <w:rFonts w:ascii="Times New Roman" w:hAnsi="Times New Roman"/>
        </w:rPr>
      </w:pPr>
      <w:r w:rsidRPr="004F4843">
        <w:rPr>
          <w:rFonts w:ascii="Times New Roman" w:hAnsi="Times New Roman"/>
        </w:rPr>
        <w:t>kde:</w:t>
      </w:r>
    </w:p>
    <w:p w14:paraId="0899FE83" w14:textId="77777777" w:rsidR="00FB1F02" w:rsidRPr="004F4843" w:rsidRDefault="00FB1F02" w:rsidP="00FB1F02">
      <w:pPr>
        <w:pStyle w:val="tl1"/>
        <w:ind w:left="1134" w:firstLine="0"/>
        <w:jc w:val="both"/>
        <w:rPr>
          <w:rFonts w:ascii="Times New Roman" w:hAnsi="Times New Roman"/>
        </w:rPr>
      </w:pPr>
      <w:r w:rsidRPr="004F4843">
        <w:rPr>
          <w:rFonts w:ascii="Times New Roman" w:hAnsi="Times New Roman"/>
        </w:rPr>
        <w:t>Forwardový nákup   =</w:t>
      </w:r>
      <w:r w:rsidRPr="004F4843">
        <w:rPr>
          <w:rFonts w:ascii="Times New Roman" w:hAnsi="Times New Roman"/>
          <w:i/>
          <w:iCs/>
        </w:rPr>
        <w:t>i</w:t>
      </w:r>
      <w:r w:rsidRPr="004F4843">
        <w:rPr>
          <w:rFonts w:ascii="Times New Roman" w:hAnsi="Times New Roman"/>
        </w:rPr>
        <w:t>=1</w:t>
      </w:r>
      <w:r w:rsidRPr="004F4843">
        <w:rPr>
          <w:rFonts w:ascii="Times New Roman" w:hAnsi="Times New Roman"/>
          <w:i/>
          <w:iCs/>
        </w:rPr>
        <w:t>n</w:t>
      </w:r>
      <w:r w:rsidRPr="004F4843">
        <w:rPr>
          <w:rFonts w:ascii="Times New Roman" w:hAnsi="Times New Roman"/>
        </w:rPr>
        <w:t>((</w:t>
      </w:r>
      <w:r w:rsidRPr="004F4843">
        <w:rPr>
          <w:rFonts w:ascii="Times New Roman" w:hAnsi="Times New Roman"/>
          <w:i/>
          <w:iCs/>
        </w:rPr>
        <w:t>BLi</w:t>
      </w:r>
      <w:r w:rsidRPr="004F4843">
        <w:rPr>
          <w:rFonts w:ascii="Times New Roman" w:hAnsi="Times New Roman"/>
        </w:rPr>
        <w:t>+</w:t>
      </w:r>
      <w:r w:rsidRPr="004F4843">
        <w:rPr>
          <w:rFonts w:ascii="Times New Roman" w:hAnsi="Times New Roman"/>
          <w:i/>
          <w:iCs/>
        </w:rPr>
        <w:t>K</w:t>
      </w:r>
      <w:r w:rsidRPr="004F4843">
        <w:rPr>
          <w:rFonts w:ascii="Times New Roman" w:hAnsi="Times New Roman"/>
        </w:rPr>
        <w:t>)*</w:t>
      </w:r>
      <w:r w:rsidRPr="004F4843">
        <w:rPr>
          <w:rFonts w:ascii="Times New Roman" w:hAnsi="Times New Roman"/>
          <w:i/>
          <w:iCs/>
        </w:rPr>
        <w:t>QFiM</w:t>
      </w:r>
      <w:r w:rsidRPr="004F4843">
        <w:rPr>
          <w:rFonts w:ascii="Times New Roman" w:hAnsi="Times New Roman"/>
        </w:rPr>
        <w:t>)</w:t>
      </w:r>
    </w:p>
    <w:p w14:paraId="16C5AF60" w14:textId="336751C4" w:rsidR="00FB1F02" w:rsidRPr="004F4843" w:rsidRDefault="00FB1F02" w:rsidP="00FB1F02">
      <w:pPr>
        <w:pStyle w:val="tl1"/>
        <w:ind w:left="1134" w:firstLine="0"/>
        <w:jc w:val="both"/>
        <w:rPr>
          <w:rFonts w:ascii="Times New Roman" w:hAnsi="Times New Roman"/>
        </w:rPr>
      </w:pPr>
      <w:r w:rsidRPr="004F4843">
        <w:rPr>
          <w:rFonts w:ascii="Times New Roman" w:hAnsi="Times New Roman"/>
        </w:rPr>
        <w:t>DokupSpot                 =</w:t>
      </w:r>
      <w:r w:rsidRPr="004F4843">
        <w:rPr>
          <w:rFonts w:ascii="Times New Roman" w:hAnsi="Times New Roman"/>
          <w:i/>
          <w:iCs/>
        </w:rPr>
        <w:t>h</w:t>
      </w:r>
      <w:r w:rsidRPr="004F4843">
        <w:rPr>
          <w:rFonts w:ascii="Times New Roman" w:hAnsi="Times New Roman"/>
        </w:rPr>
        <w:t>=1</w:t>
      </w:r>
      <w:r w:rsidRPr="004F4843">
        <w:rPr>
          <w:rFonts w:ascii="Times New Roman" w:hAnsi="Times New Roman"/>
          <w:i/>
          <w:iCs/>
        </w:rPr>
        <w:t>mSPOTh</w:t>
      </w:r>
      <w:r w:rsidRPr="004F4843">
        <w:rPr>
          <w:rFonts w:ascii="Times New Roman" w:hAnsi="Times New Roman"/>
        </w:rPr>
        <w:t>+</w:t>
      </w:r>
      <w:r w:rsidRPr="004F4843">
        <w:rPr>
          <w:rFonts w:ascii="Times New Roman" w:hAnsi="Times New Roman"/>
          <w:b/>
          <w:bCs/>
          <w:color w:val="auto"/>
        </w:rPr>
        <w:t>9,</w:t>
      </w:r>
      <w:r w:rsidR="0061181C">
        <w:rPr>
          <w:rFonts w:ascii="Times New Roman" w:hAnsi="Times New Roman"/>
          <w:b/>
          <w:bCs/>
          <w:color w:val="auto"/>
        </w:rPr>
        <w:t>4</w:t>
      </w:r>
      <w:r w:rsidRPr="004F4843">
        <w:rPr>
          <w:rFonts w:ascii="Times New Roman" w:hAnsi="Times New Roman"/>
          <w:b/>
          <w:bCs/>
          <w:color w:val="auto"/>
        </w:rPr>
        <w:t>8</w:t>
      </w:r>
      <w:r w:rsidRPr="004F4843">
        <w:rPr>
          <w:rFonts w:ascii="Times New Roman" w:hAnsi="Times New Roman"/>
        </w:rPr>
        <w:t>×</w:t>
      </w:r>
      <w:r w:rsidRPr="004F4843">
        <w:rPr>
          <w:rFonts w:ascii="Times New Roman" w:hAnsi="Times New Roman"/>
          <w:i/>
          <w:iCs/>
        </w:rPr>
        <w:t>QSDh</w:t>
      </w:r>
    </w:p>
    <w:p w14:paraId="38E5A9CD" w14:textId="037F94A9" w:rsidR="00FB1F02" w:rsidRPr="004F4843" w:rsidRDefault="00FB1F02" w:rsidP="00FB1F02">
      <w:pPr>
        <w:pStyle w:val="tl1"/>
        <w:ind w:left="1134" w:firstLine="0"/>
        <w:jc w:val="both"/>
        <w:rPr>
          <w:rFonts w:ascii="Times New Roman" w:hAnsi="Times New Roman"/>
        </w:rPr>
      </w:pPr>
      <w:r w:rsidRPr="004F4843">
        <w:rPr>
          <w:rFonts w:ascii="Times New Roman" w:hAnsi="Times New Roman"/>
        </w:rPr>
        <w:t>OdpredajSpot             =</w:t>
      </w:r>
      <w:r w:rsidRPr="004F4843">
        <w:rPr>
          <w:rFonts w:ascii="Times New Roman" w:hAnsi="Times New Roman"/>
          <w:i/>
          <w:iCs/>
        </w:rPr>
        <w:t>h</w:t>
      </w:r>
      <w:r w:rsidRPr="004F4843">
        <w:rPr>
          <w:rFonts w:ascii="Times New Roman" w:hAnsi="Times New Roman"/>
        </w:rPr>
        <w:t>=1</w:t>
      </w:r>
      <w:r w:rsidRPr="004F4843">
        <w:rPr>
          <w:rFonts w:ascii="Times New Roman" w:hAnsi="Times New Roman"/>
          <w:i/>
          <w:iCs/>
        </w:rPr>
        <w:t>mSPOTh</w:t>
      </w:r>
      <w:r w:rsidRPr="004F4843">
        <w:rPr>
          <w:rFonts w:ascii="Times New Roman" w:hAnsi="Times New Roman"/>
        </w:rPr>
        <w:t>+</w:t>
      </w:r>
      <w:r w:rsidR="007C4743">
        <w:rPr>
          <w:rFonts w:ascii="Times New Roman" w:hAnsi="Times New Roman"/>
          <w:b/>
          <w:bCs/>
          <w:color w:val="auto"/>
        </w:rPr>
        <w:t>5</w:t>
      </w:r>
      <w:r w:rsidRPr="004F4843">
        <w:rPr>
          <w:rFonts w:ascii="Times New Roman" w:hAnsi="Times New Roman"/>
          <w:b/>
          <w:bCs/>
          <w:color w:val="auto"/>
        </w:rPr>
        <w:t>,96</w:t>
      </w:r>
      <w:r w:rsidRPr="004F4843">
        <w:rPr>
          <w:rFonts w:ascii="Times New Roman" w:hAnsi="Times New Roman"/>
        </w:rPr>
        <w:t>×</w:t>
      </w:r>
      <w:r w:rsidRPr="004F4843">
        <w:rPr>
          <w:rFonts w:ascii="Times New Roman" w:hAnsi="Times New Roman"/>
          <w:i/>
          <w:iCs/>
        </w:rPr>
        <w:t>QSOh</w:t>
      </w:r>
    </w:p>
    <w:p w14:paraId="5DAFF297" w14:textId="77777777" w:rsidR="00FB1F02" w:rsidRPr="004F4843" w:rsidRDefault="00FB1F02" w:rsidP="00FB1F02">
      <w:pPr>
        <w:pStyle w:val="tl1"/>
        <w:ind w:left="567" w:firstLine="0"/>
        <w:jc w:val="both"/>
        <w:rPr>
          <w:rFonts w:ascii="Times New Roman" w:hAnsi="Times New Roman"/>
        </w:rPr>
      </w:pPr>
      <w:r w:rsidRPr="004F4843">
        <w:rPr>
          <w:rFonts w:ascii="Times New Roman" w:hAnsi="Times New Roman"/>
        </w:rPr>
        <w:t> </w:t>
      </w:r>
    </w:p>
    <w:p w14:paraId="41FA71E2" w14:textId="77777777" w:rsidR="00FB1F02" w:rsidRPr="004F4843" w:rsidRDefault="00FB1F02" w:rsidP="00FB1F02">
      <w:pPr>
        <w:pStyle w:val="tl1"/>
        <w:ind w:left="567" w:firstLine="0"/>
        <w:jc w:val="both"/>
        <w:rPr>
          <w:rFonts w:ascii="Times New Roman" w:hAnsi="Times New Roman"/>
        </w:rPr>
      </w:pPr>
      <w:r w:rsidRPr="004F4843">
        <w:rPr>
          <w:rFonts w:ascii="Times New Roman" w:hAnsi="Times New Roman"/>
        </w:rPr>
        <w:t xml:space="preserve">       </w:t>
      </w:r>
    </w:p>
    <w:p w14:paraId="3FEFBB93" w14:textId="69FC2FF0"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 xml:space="preserve">n                    je počet tranží nákupov elektriny </w:t>
      </w:r>
      <w:r w:rsidRPr="004F4843">
        <w:rPr>
          <w:rFonts w:ascii="Times New Roman" w:hAnsi="Times New Roman"/>
          <w:color w:val="auto"/>
        </w:rPr>
        <w:t xml:space="preserve">vykonaných </w:t>
      </w:r>
      <w:r w:rsidRPr="004F4843">
        <w:rPr>
          <w:rFonts w:ascii="Times New Roman" w:hAnsi="Times New Roman"/>
        </w:rPr>
        <w:t xml:space="preserve">pre celé Zmluvné obdobie vo </w:t>
      </w:r>
      <w:r w:rsidR="00A2259D">
        <w:rPr>
          <w:rFonts w:ascii="Times New Roman" w:hAnsi="Times New Roman"/>
        </w:rPr>
        <w:t>F</w:t>
      </w:r>
      <w:r w:rsidRPr="004F4843">
        <w:rPr>
          <w:rFonts w:ascii="Times New Roman" w:hAnsi="Times New Roman"/>
        </w:rPr>
        <w:t>orwardovom nákupe</w:t>
      </w:r>
    </w:p>
    <w:p w14:paraId="6AFBD363" w14:textId="5E61536B"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BL</w:t>
      </w:r>
      <w:r w:rsidRPr="004F4843">
        <w:rPr>
          <w:rFonts w:ascii="Times New Roman" w:hAnsi="Times New Roman"/>
          <w:vertAlign w:val="subscript"/>
        </w:rPr>
        <w:t>i</w:t>
      </w:r>
      <w:r w:rsidRPr="004F4843">
        <w:rPr>
          <w:rFonts w:ascii="Times New Roman" w:hAnsi="Times New Roman"/>
          <w:color w:val="auto"/>
        </w:rPr>
        <w:t xml:space="preserve">                je jednotková cena produktu baseload v i-tej tranži vo Forwardovom nákupe (€/MWh)</w:t>
      </w:r>
    </w:p>
    <w:p w14:paraId="59E966C3" w14:textId="2AA07688"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 xml:space="preserve">K                    koeficient ceny,  ktorý má hodnotu </w:t>
      </w:r>
      <w:r w:rsidRPr="004F4843">
        <w:rPr>
          <w:rFonts w:ascii="Times New Roman" w:hAnsi="Times New Roman"/>
          <w:b/>
          <w:bCs/>
        </w:rPr>
        <w:t>9,</w:t>
      </w:r>
      <w:r w:rsidR="00F3427B">
        <w:rPr>
          <w:rFonts w:ascii="Times New Roman" w:hAnsi="Times New Roman"/>
          <w:b/>
          <w:bCs/>
        </w:rPr>
        <w:t>0</w:t>
      </w:r>
      <w:r w:rsidRPr="004F4843">
        <w:rPr>
          <w:rFonts w:ascii="Times New Roman" w:hAnsi="Times New Roman"/>
          <w:b/>
          <w:bCs/>
        </w:rPr>
        <w:t>8</w:t>
      </w:r>
      <w:r w:rsidRPr="004F4843">
        <w:rPr>
          <w:rFonts w:ascii="Times New Roman" w:hAnsi="Times New Roman"/>
        </w:rPr>
        <w:t xml:space="preserve"> </w:t>
      </w:r>
      <w:r w:rsidRPr="004F4843">
        <w:rPr>
          <w:rFonts w:ascii="Times New Roman" w:hAnsi="Times New Roman"/>
          <w:b/>
          <w:bCs/>
          <w:color w:val="auto"/>
        </w:rPr>
        <w:t>€</w:t>
      </w:r>
      <w:r w:rsidRPr="004F4843">
        <w:rPr>
          <w:rFonts w:ascii="Times New Roman" w:hAnsi="Times New Roman"/>
          <w:b/>
          <w:bCs/>
        </w:rPr>
        <w:t>/MWh</w:t>
      </w:r>
    </w:p>
    <w:p w14:paraId="6A1832F6" w14:textId="3390A5C6"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QF</w:t>
      </w:r>
      <w:r w:rsidRPr="004F4843">
        <w:rPr>
          <w:rFonts w:ascii="Times New Roman" w:hAnsi="Times New Roman"/>
          <w:vertAlign w:val="subscript"/>
        </w:rPr>
        <w:t>iM</w:t>
      </w:r>
      <w:r w:rsidRPr="004F4843">
        <w:rPr>
          <w:rFonts w:ascii="Times New Roman" w:hAnsi="Times New Roman"/>
        </w:rPr>
        <w:t>              </w:t>
      </w:r>
      <w:r w:rsidRPr="004F4843">
        <w:rPr>
          <w:rFonts w:ascii="Times New Roman" w:hAnsi="Times New Roman"/>
          <w:color w:val="auto"/>
        </w:rPr>
        <w:t>je množstvo elektriny nakúpené v i-tej tranži pre mesiac „M“ vo Forwardovom nákupe (MWh)</w:t>
      </w:r>
    </w:p>
    <w:p w14:paraId="3D67E554" w14:textId="6D4CBA36"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QF</w:t>
      </w:r>
      <w:r w:rsidRPr="004F4843">
        <w:rPr>
          <w:rFonts w:ascii="Times New Roman" w:hAnsi="Times New Roman"/>
          <w:vertAlign w:val="subscript"/>
        </w:rPr>
        <w:t>h</w:t>
      </w:r>
      <w:r w:rsidRPr="004F4843">
        <w:rPr>
          <w:rFonts w:ascii="Times New Roman" w:hAnsi="Times New Roman"/>
        </w:rPr>
        <w:t xml:space="preserve">                je množstvo elektriny nakúpené v „n“ tranžiach pre hodinu „h“ mesiaca „M“ vo Forwardovom nákupe pre odber elektriny </w:t>
      </w:r>
      <w:r w:rsidR="00A2259D">
        <w:rPr>
          <w:rFonts w:ascii="Times New Roman" w:hAnsi="Times New Roman"/>
        </w:rPr>
        <w:t>odberných miest skupiny PENTA</w:t>
      </w:r>
      <w:r w:rsidR="00A2259D" w:rsidRPr="004F4843">
        <w:rPr>
          <w:rFonts w:ascii="Times New Roman" w:hAnsi="Times New Roman"/>
        </w:rPr>
        <w:t xml:space="preserve"> </w:t>
      </w:r>
      <w:r w:rsidRPr="004F4843">
        <w:rPr>
          <w:rFonts w:ascii="Times New Roman" w:hAnsi="Times New Roman"/>
        </w:rPr>
        <w:t xml:space="preserve">(MWh) </w:t>
      </w:r>
    </w:p>
    <w:p w14:paraId="55D598D0" w14:textId="3E375F38"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QM</w:t>
      </w:r>
      <w:r w:rsidRPr="004F4843">
        <w:rPr>
          <w:rFonts w:ascii="Times New Roman" w:hAnsi="Times New Roman"/>
          <w:vertAlign w:val="subscript"/>
        </w:rPr>
        <w:t>h</w:t>
      </w:r>
      <w:r w:rsidRPr="004F4843">
        <w:rPr>
          <w:rFonts w:ascii="Times New Roman" w:hAnsi="Times New Roman"/>
        </w:rPr>
        <w:t xml:space="preserve">              je skutočná spotreba elektriny </w:t>
      </w:r>
      <w:r w:rsidR="00973EAC">
        <w:rPr>
          <w:rFonts w:ascii="Times New Roman" w:hAnsi="Times New Roman"/>
        </w:rPr>
        <w:t>odberných miest skupiny PENTA</w:t>
      </w:r>
      <w:r w:rsidRPr="004F4843">
        <w:rPr>
          <w:rFonts w:ascii="Times New Roman" w:hAnsi="Times New Roman"/>
        </w:rPr>
        <w:t xml:space="preserve"> v hodine „h“ mesiaca „M“ na mesačne odčítaných Odberných miestach (MWh)</w:t>
      </w:r>
    </w:p>
    <w:p w14:paraId="7E544078" w14:textId="0AC7F557"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 xml:space="preserve">m                   je počet hodín „h“ v mesiaci „M“ </w:t>
      </w:r>
    </w:p>
    <w:p w14:paraId="013A44CB" w14:textId="341BB457"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SPOT</w:t>
      </w:r>
      <w:r w:rsidRPr="004F4843">
        <w:rPr>
          <w:rFonts w:ascii="Times New Roman" w:hAnsi="Times New Roman"/>
          <w:vertAlign w:val="subscript"/>
        </w:rPr>
        <w:t>h</w:t>
      </w:r>
      <w:r w:rsidRPr="004F4843">
        <w:rPr>
          <w:rFonts w:ascii="Times New Roman" w:hAnsi="Times New Roman"/>
        </w:rPr>
        <w:t>           je jednotková cena elektriny na krátkodobom trhu v Slovenskej republike v hodine „h“ mesiaca „M“  (</w:t>
      </w:r>
      <w:r w:rsidRPr="004F4843">
        <w:rPr>
          <w:rFonts w:ascii="Times New Roman" w:hAnsi="Times New Roman"/>
          <w:color w:val="auto"/>
        </w:rPr>
        <w:t>€</w:t>
      </w:r>
      <w:r w:rsidRPr="004F4843">
        <w:rPr>
          <w:rFonts w:ascii="Times New Roman" w:hAnsi="Times New Roman"/>
        </w:rPr>
        <w:t xml:space="preserve">/MWh) zverejnená na stránke portálu </w:t>
      </w:r>
      <w:hyperlink r:id="rId15" w:history="1">
        <w:r w:rsidRPr="004F4843">
          <w:rPr>
            <w:rStyle w:val="Hypertextovprepojenie"/>
            <w:rFonts w:ascii="Times New Roman" w:hAnsi="Times New Roman"/>
          </w:rPr>
          <w:t>www.okte.sk</w:t>
        </w:r>
      </w:hyperlink>
      <w:r w:rsidRPr="004F4843">
        <w:rPr>
          <w:rFonts w:ascii="Times New Roman" w:hAnsi="Times New Roman"/>
        </w:rPr>
        <w:t xml:space="preserve">       </w:t>
      </w:r>
    </w:p>
    <w:p w14:paraId="336DC357" w14:textId="25E24E1D"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QSD</w:t>
      </w:r>
      <w:r w:rsidRPr="004F4843">
        <w:rPr>
          <w:rFonts w:ascii="Times New Roman" w:hAnsi="Times New Roman"/>
          <w:vertAlign w:val="subscript"/>
        </w:rPr>
        <w:t>h</w:t>
      </w:r>
      <w:r w:rsidRPr="004F4843">
        <w:rPr>
          <w:rFonts w:ascii="Times New Roman" w:hAnsi="Times New Roman"/>
        </w:rPr>
        <w:t>             je množstvo chýbajúcej elektriny v hodine „h“ (MWh), o ktoré je v danej hodine „h“  hodnota QM</w:t>
      </w:r>
      <w:r w:rsidRPr="004F4843">
        <w:rPr>
          <w:rFonts w:ascii="Times New Roman" w:hAnsi="Times New Roman"/>
          <w:vertAlign w:val="subscript"/>
        </w:rPr>
        <w:t>h</w:t>
      </w:r>
      <w:r w:rsidRPr="004F4843">
        <w:rPr>
          <w:rFonts w:ascii="Times New Roman" w:hAnsi="Times New Roman"/>
        </w:rPr>
        <w:t xml:space="preserve"> vyššia ako hodnota QF</w:t>
      </w:r>
      <w:r w:rsidRPr="004F4843">
        <w:rPr>
          <w:rFonts w:ascii="Times New Roman" w:hAnsi="Times New Roman"/>
          <w:vertAlign w:val="subscript"/>
        </w:rPr>
        <w:t xml:space="preserve">h </w:t>
      </w:r>
      <w:r w:rsidRPr="004F4843">
        <w:rPr>
          <w:rFonts w:ascii="Times New Roman" w:hAnsi="Times New Roman"/>
        </w:rPr>
        <w:t>(dokup)</w:t>
      </w:r>
    </w:p>
    <w:p w14:paraId="14EB9ECD" w14:textId="77777777" w:rsidR="00FB1F02" w:rsidRPr="004F4843" w:rsidRDefault="00FB1F02" w:rsidP="00FB1F02">
      <w:pPr>
        <w:pStyle w:val="tl1"/>
        <w:ind w:left="2268" w:firstLine="0"/>
        <w:jc w:val="both"/>
        <w:rPr>
          <w:rFonts w:ascii="Times New Roman" w:hAnsi="Times New Roman"/>
        </w:rPr>
      </w:pPr>
      <w:r w:rsidRPr="004F4843">
        <w:rPr>
          <w:rFonts w:ascii="Times New Roman" w:hAnsi="Times New Roman"/>
        </w:rPr>
        <w:t>ak  QM</w:t>
      </w:r>
      <w:r w:rsidRPr="004F4843">
        <w:rPr>
          <w:rFonts w:ascii="Times New Roman" w:hAnsi="Times New Roman"/>
          <w:vertAlign w:val="subscript"/>
        </w:rPr>
        <w:t>h</w:t>
      </w:r>
      <w:r w:rsidRPr="004F4843">
        <w:rPr>
          <w:rFonts w:ascii="Times New Roman" w:hAnsi="Times New Roman"/>
        </w:rPr>
        <w:t xml:space="preserve"> &gt; QF</w:t>
      </w:r>
      <w:r w:rsidRPr="004F4843">
        <w:rPr>
          <w:rFonts w:ascii="Times New Roman" w:hAnsi="Times New Roman"/>
          <w:vertAlign w:val="subscript"/>
        </w:rPr>
        <w:t>h</w:t>
      </w:r>
      <w:r w:rsidRPr="004F4843">
        <w:rPr>
          <w:rFonts w:ascii="Times New Roman" w:hAnsi="Times New Roman"/>
        </w:rPr>
        <w:t xml:space="preserve"> potom QSD</w:t>
      </w:r>
      <w:r w:rsidRPr="004F4843">
        <w:rPr>
          <w:rFonts w:ascii="Times New Roman" w:hAnsi="Times New Roman"/>
          <w:vertAlign w:val="subscript"/>
        </w:rPr>
        <w:t>h</w:t>
      </w:r>
      <w:r w:rsidRPr="004F4843">
        <w:rPr>
          <w:rFonts w:ascii="Times New Roman" w:hAnsi="Times New Roman"/>
        </w:rPr>
        <w:t xml:space="preserve"> = QM</w:t>
      </w:r>
      <w:r w:rsidRPr="004F4843">
        <w:rPr>
          <w:rFonts w:ascii="Times New Roman" w:hAnsi="Times New Roman"/>
          <w:vertAlign w:val="subscript"/>
        </w:rPr>
        <w:t>h</w:t>
      </w:r>
      <w:r w:rsidRPr="004F4843">
        <w:rPr>
          <w:rFonts w:ascii="Times New Roman" w:hAnsi="Times New Roman"/>
        </w:rPr>
        <w:t xml:space="preserve"> - QF</w:t>
      </w:r>
      <w:r w:rsidRPr="004F4843">
        <w:rPr>
          <w:rFonts w:ascii="Times New Roman" w:hAnsi="Times New Roman"/>
          <w:vertAlign w:val="subscript"/>
        </w:rPr>
        <w:t>h</w:t>
      </w:r>
      <w:r w:rsidRPr="004F4843">
        <w:rPr>
          <w:rFonts w:ascii="Times New Roman" w:hAnsi="Times New Roman"/>
        </w:rPr>
        <w:t xml:space="preserve"> inak QSD</w:t>
      </w:r>
      <w:r w:rsidRPr="004F4843">
        <w:rPr>
          <w:rFonts w:ascii="Times New Roman" w:hAnsi="Times New Roman"/>
          <w:vertAlign w:val="subscript"/>
        </w:rPr>
        <w:t>h</w:t>
      </w:r>
      <w:r w:rsidRPr="004F4843">
        <w:rPr>
          <w:rFonts w:ascii="Times New Roman" w:hAnsi="Times New Roman"/>
        </w:rPr>
        <w:t xml:space="preserve"> = 0 (MWh)</w:t>
      </w:r>
    </w:p>
    <w:p w14:paraId="2E37D44F" w14:textId="75DB8693" w:rsidR="00FB1F02" w:rsidRPr="004F4843" w:rsidRDefault="00FB1F02" w:rsidP="00FB1F02">
      <w:pPr>
        <w:pStyle w:val="tl1"/>
        <w:ind w:left="2268" w:hanging="1134"/>
        <w:jc w:val="both"/>
        <w:rPr>
          <w:rFonts w:ascii="Times New Roman" w:hAnsi="Times New Roman"/>
        </w:rPr>
      </w:pPr>
      <w:r w:rsidRPr="004F4843">
        <w:rPr>
          <w:rFonts w:ascii="Times New Roman" w:hAnsi="Times New Roman"/>
        </w:rPr>
        <w:t>QSO</w:t>
      </w:r>
      <w:r w:rsidRPr="004F4843">
        <w:rPr>
          <w:rFonts w:ascii="Times New Roman" w:hAnsi="Times New Roman"/>
          <w:vertAlign w:val="subscript"/>
        </w:rPr>
        <w:t>h</w:t>
      </w:r>
      <w:r w:rsidRPr="004F4843">
        <w:rPr>
          <w:rFonts w:ascii="Times New Roman" w:hAnsi="Times New Roman"/>
        </w:rPr>
        <w:t>             je množstvo prebytočnej elektriny v hodine „h“ (MWh), o ktoré je v danej hodine „h“ hodnota QM</w:t>
      </w:r>
      <w:r w:rsidRPr="004F4843">
        <w:rPr>
          <w:rFonts w:ascii="Times New Roman" w:hAnsi="Times New Roman"/>
          <w:vertAlign w:val="subscript"/>
        </w:rPr>
        <w:t>h</w:t>
      </w:r>
      <w:r w:rsidRPr="004F4843">
        <w:rPr>
          <w:rFonts w:ascii="Times New Roman" w:hAnsi="Times New Roman"/>
        </w:rPr>
        <w:t xml:space="preserve"> nižšia ako hodnota QF</w:t>
      </w:r>
      <w:r w:rsidRPr="004F4843">
        <w:rPr>
          <w:rFonts w:ascii="Times New Roman" w:hAnsi="Times New Roman"/>
          <w:vertAlign w:val="subscript"/>
        </w:rPr>
        <w:t xml:space="preserve">h </w:t>
      </w:r>
      <w:r w:rsidRPr="004F4843">
        <w:rPr>
          <w:rFonts w:ascii="Times New Roman" w:hAnsi="Times New Roman"/>
        </w:rPr>
        <w:t> (odpredaj)</w:t>
      </w:r>
    </w:p>
    <w:p w14:paraId="2ED8B4E0" w14:textId="77777777" w:rsidR="00FB1F02" w:rsidRPr="004F4843" w:rsidRDefault="00FB1F02" w:rsidP="00FB1F02">
      <w:pPr>
        <w:pStyle w:val="tl1"/>
        <w:ind w:left="2268" w:firstLine="0"/>
        <w:jc w:val="both"/>
        <w:rPr>
          <w:rFonts w:ascii="Times New Roman" w:hAnsi="Times New Roman"/>
        </w:rPr>
      </w:pPr>
      <w:r w:rsidRPr="004F4843">
        <w:rPr>
          <w:rFonts w:ascii="Times New Roman" w:hAnsi="Times New Roman"/>
        </w:rPr>
        <w:t>ak  QM</w:t>
      </w:r>
      <w:r w:rsidRPr="004F4843">
        <w:rPr>
          <w:rFonts w:ascii="Times New Roman" w:hAnsi="Times New Roman"/>
          <w:vertAlign w:val="subscript"/>
        </w:rPr>
        <w:t>h</w:t>
      </w:r>
      <w:r w:rsidRPr="004F4843">
        <w:rPr>
          <w:rFonts w:ascii="Times New Roman" w:hAnsi="Times New Roman"/>
        </w:rPr>
        <w:t xml:space="preserve"> &lt; QF</w:t>
      </w:r>
      <w:r w:rsidRPr="004F4843">
        <w:rPr>
          <w:rFonts w:ascii="Times New Roman" w:hAnsi="Times New Roman"/>
          <w:vertAlign w:val="subscript"/>
        </w:rPr>
        <w:t>h</w:t>
      </w:r>
      <w:r w:rsidRPr="004F4843">
        <w:rPr>
          <w:rFonts w:ascii="Times New Roman" w:hAnsi="Times New Roman"/>
        </w:rPr>
        <w:t xml:space="preserve"> potom QSO</w:t>
      </w:r>
      <w:r w:rsidRPr="004F4843">
        <w:rPr>
          <w:rFonts w:ascii="Times New Roman" w:hAnsi="Times New Roman"/>
          <w:vertAlign w:val="subscript"/>
        </w:rPr>
        <w:t>h</w:t>
      </w:r>
      <w:r w:rsidRPr="004F4843">
        <w:rPr>
          <w:rFonts w:ascii="Times New Roman" w:hAnsi="Times New Roman"/>
        </w:rPr>
        <w:t xml:space="preserve"> = QF</w:t>
      </w:r>
      <w:r w:rsidRPr="004F4843">
        <w:rPr>
          <w:rFonts w:ascii="Times New Roman" w:hAnsi="Times New Roman"/>
          <w:vertAlign w:val="subscript"/>
        </w:rPr>
        <w:t>h</w:t>
      </w:r>
      <w:r w:rsidRPr="004F4843">
        <w:rPr>
          <w:rFonts w:ascii="Times New Roman" w:hAnsi="Times New Roman"/>
        </w:rPr>
        <w:t xml:space="preserve"> - QM</w:t>
      </w:r>
      <w:r w:rsidRPr="004F4843">
        <w:rPr>
          <w:rFonts w:ascii="Times New Roman" w:hAnsi="Times New Roman"/>
          <w:vertAlign w:val="subscript"/>
        </w:rPr>
        <w:t>h</w:t>
      </w:r>
      <w:r w:rsidRPr="004F4843">
        <w:rPr>
          <w:rFonts w:ascii="Times New Roman" w:hAnsi="Times New Roman"/>
        </w:rPr>
        <w:t xml:space="preserve"> inak QSO</w:t>
      </w:r>
      <w:r w:rsidRPr="004F4843">
        <w:rPr>
          <w:rFonts w:ascii="Times New Roman" w:hAnsi="Times New Roman"/>
          <w:vertAlign w:val="subscript"/>
        </w:rPr>
        <w:t>h</w:t>
      </w:r>
      <w:r w:rsidRPr="004F4843">
        <w:rPr>
          <w:rFonts w:ascii="Times New Roman" w:hAnsi="Times New Roman"/>
        </w:rPr>
        <w:t xml:space="preserve"> = 0 (MWh)</w:t>
      </w:r>
    </w:p>
    <w:p w14:paraId="4A9FD339" w14:textId="77777777" w:rsidR="00FB1F02" w:rsidRPr="004F4843" w:rsidRDefault="00FB1F02" w:rsidP="00FB1F02">
      <w:pPr>
        <w:pStyle w:val="tl1"/>
        <w:ind w:left="1134" w:firstLine="0"/>
        <w:jc w:val="both"/>
        <w:rPr>
          <w:rFonts w:ascii="Times New Roman" w:hAnsi="Times New Roman"/>
        </w:rPr>
      </w:pPr>
      <w:r w:rsidRPr="004F4843">
        <w:rPr>
          <w:rFonts w:ascii="Times New Roman" w:hAnsi="Times New Roman"/>
        </w:rPr>
        <w:t> </w:t>
      </w:r>
    </w:p>
    <w:p w14:paraId="70770BBB" w14:textId="77777777" w:rsidR="00FB1F02" w:rsidRPr="004F4843" w:rsidRDefault="00FB1F02" w:rsidP="00FB1F02">
      <w:pPr>
        <w:autoSpaceDE w:val="0"/>
        <w:autoSpaceDN w:val="0"/>
        <w:adjustRightInd w:val="0"/>
        <w:ind w:left="720" w:firstLine="720"/>
        <w:jc w:val="both"/>
        <w:rPr>
          <w:rFonts w:ascii="Times New Roman" w:hAnsi="Times New Roman"/>
          <w:sz w:val="20"/>
          <w:szCs w:val="20"/>
          <w:lang w:val="sk-SK"/>
        </w:rPr>
      </w:pPr>
      <w:r w:rsidRPr="004F4843">
        <w:rPr>
          <w:rFonts w:ascii="Times New Roman" w:hAnsi="Times New Roman"/>
          <w:sz w:val="20"/>
          <w:szCs w:val="20"/>
          <w:lang w:val="sk-SK"/>
        </w:rPr>
        <w:t xml:space="preserve">Výsledok výpočtu podľa tohto vzorca sa zaokrúhli matematicky na 2 desatinné miesta. </w:t>
      </w:r>
    </w:p>
    <w:p w14:paraId="2209FB2C" w14:textId="77777777" w:rsidR="00FB1F02" w:rsidRPr="004F4843" w:rsidRDefault="00FB1F02" w:rsidP="00FB1F02">
      <w:pPr>
        <w:pStyle w:val="ZSENazovdokumentu"/>
        <w:ind w:left="1134"/>
        <w:jc w:val="both"/>
        <w:rPr>
          <w:rFonts w:ascii="Times New Roman" w:hAnsi="Times New Roman"/>
        </w:rPr>
      </w:pPr>
      <w:r w:rsidRPr="004F4843">
        <w:rPr>
          <w:rFonts w:ascii="Times New Roman" w:hAnsi="Times New Roman"/>
          <w:b w:val="0"/>
          <w:bCs/>
          <w:color w:val="auto"/>
        </w:rPr>
        <w:t> </w:t>
      </w:r>
    </w:p>
    <w:p w14:paraId="73F592BC" w14:textId="77777777" w:rsidR="00FB1F02" w:rsidRPr="004F4843" w:rsidRDefault="00FB1F02" w:rsidP="004F4843">
      <w:pPr>
        <w:autoSpaceDE w:val="0"/>
        <w:autoSpaceDN w:val="0"/>
        <w:adjustRightInd w:val="0"/>
        <w:ind w:left="720" w:firstLine="720"/>
        <w:jc w:val="both"/>
        <w:rPr>
          <w:rFonts w:ascii="Times New Roman" w:hAnsi="Times New Roman"/>
          <w:sz w:val="20"/>
          <w:szCs w:val="20"/>
          <w:lang w:val="sk-SK"/>
        </w:rPr>
      </w:pPr>
      <w:r w:rsidRPr="004F4843">
        <w:rPr>
          <w:rFonts w:ascii="Times New Roman" w:hAnsi="Times New Roman"/>
          <w:sz w:val="20"/>
          <w:szCs w:val="20"/>
          <w:lang w:val="sk-SK"/>
        </w:rPr>
        <w:t>Ak výsledkom výpočtu podľa tohto písm. a)  bude hodnota rovná alebo menšia ako 0 (nula), jednotková cena za dodávku elektriny do mesačne odčítaných Odberných miest je v takom prípade v príslušnom mesiaci „M“ Zmluvného obdobia vo výške 1 (jedno) €/MWh.</w:t>
      </w:r>
    </w:p>
    <w:p w14:paraId="2F0B28A4" w14:textId="3AE27E10" w:rsidR="00FB1F02" w:rsidRDefault="00FB1F02" w:rsidP="004F4843">
      <w:pPr>
        <w:autoSpaceDE w:val="0"/>
        <w:autoSpaceDN w:val="0"/>
        <w:adjustRightInd w:val="0"/>
        <w:ind w:left="720" w:firstLine="720"/>
        <w:jc w:val="both"/>
        <w:rPr>
          <w:rFonts w:ascii="Times New Roman" w:hAnsi="Times New Roman"/>
          <w:sz w:val="20"/>
          <w:szCs w:val="20"/>
          <w:lang w:val="sk-SK"/>
        </w:rPr>
      </w:pPr>
      <w:r w:rsidRPr="004F4843">
        <w:rPr>
          <w:rFonts w:ascii="Times New Roman" w:hAnsi="Times New Roman"/>
          <w:sz w:val="20"/>
          <w:szCs w:val="20"/>
          <w:lang w:val="sk-SK"/>
        </w:rPr>
        <w:lastRenderedPageBreak/>
        <w:t xml:space="preserve"> Pre vylúčenie pochybností, Odberateľ berie na vedomie, že výška jednotkovej ceny za dodávku elektriny pre mesačne zúčtované Odberné miesta vypočítaná podľa vyššie uvedeného postupu bude ovplyvnená správaním, t. j. Forwardovými nákupmi a skutočnou spotrebou </w:t>
      </w:r>
      <w:r w:rsidR="00FE7FFB">
        <w:rPr>
          <w:rFonts w:ascii="Times New Roman" w:hAnsi="Times New Roman"/>
          <w:sz w:val="20"/>
          <w:szCs w:val="20"/>
          <w:lang w:val="sk-SK"/>
        </w:rPr>
        <w:t>skupiny PENTA</w:t>
      </w:r>
      <w:r w:rsidRPr="004F4843">
        <w:rPr>
          <w:rFonts w:ascii="Times New Roman" w:hAnsi="Times New Roman"/>
          <w:sz w:val="20"/>
          <w:szCs w:val="20"/>
          <w:lang w:val="sk-SK"/>
        </w:rPr>
        <w:t xml:space="preserve">, s čím Odberateľ výslovne súhlasí. </w:t>
      </w:r>
    </w:p>
    <w:p w14:paraId="5A22D63F" w14:textId="1556F04F" w:rsidR="00017A73" w:rsidRPr="00182D39" w:rsidRDefault="00017A73" w:rsidP="00017A73">
      <w:pPr>
        <w:autoSpaceDE w:val="0"/>
        <w:autoSpaceDN w:val="0"/>
        <w:adjustRightInd w:val="0"/>
        <w:ind w:left="720" w:firstLine="720"/>
        <w:jc w:val="both"/>
        <w:rPr>
          <w:rFonts w:ascii="Times New Roman" w:hAnsi="Times New Roman"/>
          <w:b/>
          <w:bCs/>
          <w:sz w:val="20"/>
          <w:szCs w:val="20"/>
          <w:u w:val="single"/>
          <w:lang w:val="sk-SK"/>
        </w:rPr>
      </w:pPr>
      <w:r w:rsidRPr="00182D39">
        <w:rPr>
          <w:rFonts w:ascii="Times New Roman" w:hAnsi="Times New Roman"/>
          <w:b/>
          <w:bCs/>
          <w:sz w:val="20"/>
          <w:szCs w:val="20"/>
          <w:u w:val="single"/>
          <w:lang w:val="sk-SK"/>
        </w:rPr>
        <w:t xml:space="preserve">Zároveň Vám týmto oznamujeme, že 30.11.2024 bola zrealizovaná tranža </w:t>
      </w:r>
      <w:r w:rsidR="00E51CB2">
        <w:rPr>
          <w:rFonts w:ascii="Times New Roman" w:hAnsi="Times New Roman"/>
          <w:b/>
          <w:bCs/>
          <w:sz w:val="20"/>
          <w:szCs w:val="20"/>
          <w:u w:val="single"/>
          <w:lang w:val="sk-SK"/>
        </w:rPr>
        <w:t xml:space="preserve">- </w:t>
      </w:r>
      <w:r w:rsidRPr="00182D39">
        <w:rPr>
          <w:rFonts w:ascii="Times New Roman" w:hAnsi="Times New Roman"/>
          <w:b/>
          <w:bCs/>
          <w:sz w:val="20"/>
          <w:szCs w:val="20"/>
          <w:u w:val="single"/>
          <w:lang w:val="sk-SK"/>
        </w:rPr>
        <w:t>Forwardov</w:t>
      </w:r>
      <w:r w:rsidR="00E51CB2">
        <w:rPr>
          <w:rFonts w:ascii="Times New Roman" w:hAnsi="Times New Roman"/>
          <w:b/>
          <w:bCs/>
          <w:sz w:val="20"/>
          <w:szCs w:val="20"/>
          <w:u w:val="single"/>
          <w:lang w:val="sk-SK"/>
        </w:rPr>
        <w:t>ý</w:t>
      </w:r>
      <w:r w:rsidRPr="00182D39">
        <w:rPr>
          <w:rFonts w:ascii="Times New Roman" w:hAnsi="Times New Roman"/>
          <w:b/>
          <w:bCs/>
          <w:sz w:val="20"/>
          <w:szCs w:val="20"/>
          <w:u w:val="single"/>
          <w:lang w:val="sk-SK"/>
        </w:rPr>
        <w:t xml:space="preserve"> </w:t>
      </w:r>
      <w:r w:rsidR="00E51CB2">
        <w:rPr>
          <w:rFonts w:ascii="Times New Roman" w:hAnsi="Times New Roman"/>
          <w:b/>
          <w:bCs/>
          <w:sz w:val="20"/>
          <w:szCs w:val="20"/>
          <w:u w:val="single"/>
          <w:lang w:val="sk-SK"/>
        </w:rPr>
        <w:t>nákup</w:t>
      </w:r>
      <w:r w:rsidRPr="00182D39">
        <w:rPr>
          <w:rFonts w:ascii="Times New Roman" w:hAnsi="Times New Roman"/>
          <w:b/>
          <w:bCs/>
          <w:sz w:val="20"/>
          <w:szCs w:val="20"/>
          <w:u w:val="single"/>
          <w:lang w:val="sk-SK"/>
        </w:rPr>
        <w:t xml:space="preserve"> </w:t>
      </w:r>
      <w:r w:rsidR="00E51CB2" w:rsidRPr="00182D39">
        <w:rPr>
          <w:rFonts w:ascii="Times New Roman" w:hAnsi="Times New Roman"/>
          <w:b/>
          <w:bCs/>
          <w:sz w:val="20"/>
          <w:szCs w:val="20"/>
          <w:u w:val="single"/>
          <w:lang w:val="sk-SK"/>
        </w:rPr>
        <w:t xml:space="preserve">50% predpokladanej spotreby </w:t>
      </w:r>
      <w:r w:rsidR="006F63E7">
        <w:rPr>
          <w:rFonts w:ascii="Times New Roman" w:hAnsi="Times New Roman"/>
          <w:b/>
          <w:bCs/>
          <w:sz w:val="20"/>
          <w:szCs w:val="20"/>
          <w:u w:val="single"/>
          <w:lang w:val="sk-SK"/>
        </w:rPr>
        <w:t>odberných miest skupiny PENTA</w:t>
      </w:r>
      <w:r w:rsidR="00E51CB2" w:rsidRPr="00182D39">
        <w:rPr>
          <w:rFonts w:ascii="Times New Roman" w:hAnsi="Times New Roman"/>
          <w:b/>
          <w:bCs/>
          <w:sz w:val="20"/>
          <w:szCs w:val="20"/>
          <w:u w:val="single"/>
          <w:lang w:val="sk-SK"/>
        </w:rPr>
        <w:t xml:space="preserve"> </w:t>
      </w:r>
      <w:r w:rsidR="00503612">
        <w:rPr>
          <w:rFonts w:ascii="Times New Roman" w:hAnsi="Times New Roman"/>
          <w:b/>
          <w:bCs/>
          <w:sz w:val="20"/>
          <w:szCs w:val="20"/>
          <w:u w:val="single"/>
          <w:lang w:val="sk-SK"/>
        </w:rPr>
        <w:t>-</w:t>
      </w:r>
      <w:r w:rsidR="00E51CB2">
        <w:rPr>
          <w:rFonts w:ascii="Times New Roman" w:hAnsi="Times New Roman"/>
          <w:b/>
          <w:bCs/>
          <w:sz w:val="20"/>
          <w:szCs w:val="20"/>
          <w:u w:val="single"/>
          <w:lang w:val="sk-SK"/>
        </w:rPr>
        <w:t xml:space="preserve"> </w:t>
      </w:r>
      <w:r w:rsidR="00D205E1">
        <w:rPr>
          <w:rFonts w:ascii="Times New Roman" w:hAnsi="Times New Roman"/>
          <w:b/>
          <w:bCs/>
          <w:sz w:val="20"/>
          <w:szCs w:val="20"/>
          <w:u w:val="single"/>
          <w:lang w:val="sk-SK"/>
        </w:rPr>
        <w:t xml:space="preserve">produkt </w:t>
      </w:r>
      <w:r w:rsidRPr="00182D39">
        <w:rPr>
          <w:rFonts w:ascii="Times New Roman" w:hAnsi="Times New Roman"/>
          <w:b/>
          <w:bCs/>
          <w:sz w:val="20"/>
          <w:szCs w:val="20"/>
          <w:u w:val="single"/>
          <w:lang w:val="sk-SK"/>
        </w:rPr>
        <w:t>SK BL Cal24 v cene 111,20 €/MWh.</w:t>
      </w:r>
    </w:p>
    <w:bookmarkEnd w:id="0"/>
    <w:p w14:paraId="69E02A5E" w14:textId="77777777" w:rsidR="0067115F" w:rsidRPr="004F4843" w:rsidRDefault="0067115F" w:rsidP="004F4843">
      <w:pPr>
        <w:autoSpaceDE w:val="0"/>
        <w:autoSpaceDN w:val="0"/>
        <w:adjustRightInd w:val="0"/>
        <w:ind w:left="720" w:firstLine="720"/>
        <w:jc w:val="both"/>
        <w:rPr>
          <w:rFonts w:ascii="Times New Roman" w:hAnsi="Times New Roman"/>
          <w:sz w:val="20"/>
          <w:szCs w:val="20"/>
          <w:lang w:val="sk-SK"/>
        </w:rPr>
      </w:pPr>
      <w:r w:rsidRPr="004F4843">
        <w:rPr>
          <w:rFonts w:ascii="Times New Roman" w:hAnsi="Times New Roman"/>
          <w:sz w:val="20"/>
          <w:szCs w:val="20"/>
          <w:lang w:val="sk-SK"/>
        </w:rPr>
        <w:t xml:space="preserve">V prípade, že </w:t>
      </w:r>
      <w:r w:rsidR="005743FA" w:rsidRPr="004F4843">
        <w:rPr>
          <w:rFonts w:ascii="Times New Roman" w:hAnsi="Times New Roman"/>
          <w:b/>
          <w:bCs/>
          <w:sz w:val="20"/>
          <w:szCs w:val="20"/>
          <w:lang w:val="sk-SK"/>
        </w:rPr>
        <w:t>s</w:t>
      </w:r>
      <w:r w:rsidRPr="004F4843">
        <w:rPr>
          <w:rFonts w:ascii="Times New Roman" w:hAnsi="Times New Roman"/>
          <w:b/>
          <w:bCs/>
          <w:sz w:val="20"/>
          <w:szCs w:val="20"/>
          <w:lang w:val="sk-SK"/>
        </w:rPr>
        <w:t>o spôsobom výpočtu jednotkovej ceny nesúhlasíte</w:t>
      </w:r>
      <w:r w:rsidRPr="004F4843">
        <w:rPr>
          <w:rFonts w:ascii="Times New Roman" w:hAnsi="Times New Roman"/>
          <w:sz w:val="20"/>
          <w:szCs w:val="20"/>
          <w:lang w:val="sk-SK"/>
        </w:rPr>
        <w:t xml:space="preserve">, </w:t>
      </w:r>
      <w:r w:rsidRPr="004F4843">
        <w:rPr>
          <w:rFonts w:ascii="Times New Roman" w:hAnsi="Times New Roman"/>
          <w:b/>
          <w:bCs/>
          <w:sz w:val="20"/>
          <w:szCs w:val="20"/>
          <w:lang w:val="sk-SK"/>
        </w:rPr>
        <w:t>pošlite nám písomné oznámenie o ukončení Zmluvy o združenej dodávke elektriny, ktorá bude doručená do sídla našej spoločnosti najneskôr do 3</w:t>
      </w:r>
      <w:r w:rsidR="00017A73">
        <w:rPr>
          <w:rFonts w:ascii="Times New Roman" w:hAnsi="Times New Roman"/>
          <w:b/>
          <w:bCs/>
          <w:sz w:val="20"/>
          <w:szCs w:val="20"/>
          <w:lang w:val="sk-SK"/>
        </w:rPr>
        <w:t>1</w:t>
      </w:r>
      <w:r w:rsidRPr="004F4843">
        <w:rPr>
          <w:rFonts w:ascii="Times New Roman" w:hAnsi="Times New Roman"/>
          <w:b/>
          <w:bCs/>
          <w:sz w:val="20"/>
          <w:szCs w:val="20"/>
          <w:lang w:val="sk-SK"/>
        </w:rPr>
        <w:t>.1</w:t>
      </w:r>
      <w:r w:rsidR="00017A73">
        <w:rPr>
          <w:rFonts w:ascii="Times New Roman" w:hAnsi="Times New Roman"/>
          <w:b/>
          <w:bCs/>
          <w:sz w:val="20"/>
          <w:szCs w:val="20"/>
          <w:lang w:val="sk-SK"/>
        </w:rPr>
        <w:t>2</w:t>
      </w:r>
      <w:r w:rsidRPr="004F4843">
        <w:rPr>
          <w:rFonts w:ascii="Times New Roman" w:hAnsi="Times New Roman"/>
          <w:b/>
          <w:bCs/>
          <w:sz w:val="20"/>
          <w:szCs w:val="20"/>
          <w:lang w:val="sk-SK"/>
        </w:rPr>
        <w:t>.202</w:t>
      </w:r>
      <w:r w:rsidR="00B438CC" w:rsidRPr="004F4843">
        <w:rPr>
          <w:rFonts w:ascii="Times New Roman" w:hAnsi="Times New Roman"/>
          <w:b/>
          <w:bCs/>
          <w:sz w:val="20"/>
          <w:szCs w:val="20"/>
          <w:lang w:val="sk-SK"/>
        </w:rPr>
        <w:t>3</w:t>
      </w:r>
      <w:r w:rsidRPr="004F4843">
        <w:rPr>
          <w:rFonts w:ascii="Times New Roman" w:hAnsi="Times New Roman"/>
          <w:sz w:val="20"/>
          <w:szCs w:val="20"/>
          <w:lang w:val="sk-SK"/>
        </w:rPr>
        <w:t>. Následne si od 1.1.202</w:t>
      </w:r>
      <w:r w:rsidR="00B438CC" w:rsidRPr="004F4843">
        <w:rPr>
          <w:rFonts w:ascii="Times New Roman" w:hAnsi="Times New Roman"/>
          <w:sz w:val="20"/>
          <w:szCs w:val="20"/>
          <w:lang w:val="sk-SK"/>
        </w:rPr>
        <w:t>4</w:t>
      </w:r>
      <w:r w:rsidRPr="004F4843">
        <w:rPr>
          <w:rFonts w:ascii="Times New Roman" w:hAnsi="Times New Roman"/>
          <w:sz w:val="20"/>
          <w:szCs w:val="20"/>
          <w:lang w:val="sk-SK"/>
        </w:rPr>
        <w:t xml:space="preserve"> môžete vybrať iného dodávateľa elektriny v súlade s platnou legislatívou.</w:t>
      </w:r>
    </w:p>
    <w:p w14:paraId="735F5103" w14:textId="77777777" w:rsidR="005F6C87" w:rsidRDefault="00633092" w:rsidP="005F6C87">
      <w:pPr>
        <w:ind w:left="142"/>
        <w:contextualSpacing/>
        <w:rPr>
          <w:rFonts w:ascii="Times New Roman" w:hAnsi="Times New Roman"/>
          <w:b/>
          <w:color w:val="58585A"/>
          <w:lang w:val="sk-SK"/>
        </w:rPr>
      </w:pPr>
      <w:r w:rsidRPr="004F4843">
        <w:rPr>
          <w:rFonts w:ascii="Times New Roman" w:hAnsi="Times New Roman"/>
          <w:color w:val="323232"/>
          <w:sz w:val="20"/>
          <w:szCs w:val="20"/>
          <w:lang w:val="sk-SK"/>
        </w:rPr>
        <w:t xml:space="preserve">   </w:t>
      </w:r>
      <w:r w:rsidR="005F6C87" w:rsidRPr="004F4843">
        <w:rPr>
          <w:rFonts w:ascii="Times New Roman" w:hAnsi="Times New Roman"/>
          <w:b/>
          <w:color w:val="58585A"/>
          <w:lang w:val="sk-SK"/>
        </w:rPr>
        <w:tab/>
      </w:r>
    </w:p>
    <w:p w14:paraId="276A8274" w14:textId="30B38E1A" w:rsidR="005F6C87" w:rsidRDefault="005F6C87" w:rsidP="005F6C87">
      <w:pPr>
        <w:pStyle w:val="Zarkazkladnhotextu"/>
        <w:spacing w:after="0"/>
        <w:ind w:left="993"/>
        <w:jc w:val="both"/>
        <w:rPr>
          <w:rFonts w:ascii="Times New Roman" w:hAnsi="Times New Roman"/>
          <w:color w:val="323232"/>
        </w:rPr>
      </w:pPr>
      <w:r w:rsidRPr="004F4843">
        <w:rPr>
          <w:rFonts w:ascii="Times New Roman" w:hAnsi="Times New Roman"/>
          <w:color w:val="323232"/>
        </w:rPr>
        <w:t>Bratislava, 30.11.2023</w:t>
      </w:r>
    </w:p>
    <w:p w14:paraId="57C64A57" w14:textId="3C1B6D83" w:rsidR="00793168" w:rsidRPr="004F4843" w:rsidRDefault="00793168" w:rsidP="00224E91">
      <w:pPr>
        <w:autoSpaceDE w:val="0"/>
        <w:autoSpaceDN w:val="0"/>
        <w:adjustRightInd w:val="0"/>
        <w:jc w:val="both"/>
        <w:rPr>
          <w:rFonts w:ascii="Times New Roman" w:hAnsi="Times New Roman"/>
          <w:color w:val="323232"/>
          <w:sz w:val="20"/>
          <w:szCs w:val="20"/>
          <w:lang w:val="sk-SK"/>
        </w:rPr>
      </w:pPr>
    </w:p>
    <w:p w14:paraId="6D1EBE8C" w14:textId="77777777" w:rsidR="00CD6A01" w:rsidRPr="004F4843" w:rsidRDefault="00CD6A01" w:rsidP="0028134B">
      <w:pPr>
        <w:pStyle w:val="Zarkazkladnhotextu"/>
        <w:spacing w:after="0"/>
        <w:ind w:left="993"/>
        <w:jc w:val="both"/>
        <w:rPr>
          <w:rFonts w:ascii="Times New Roman" w:hAnsi="Times New Roman"/>
        </w:rPr>
      </w:pPr>
      <w:r w:rsidRPr="004F4843">
        <w:rPr>
          <w:rFonts w:ascii="Times New Roman" w:hAnsi="Times New Roman"/>
        </w:rPr>
        <w:t>S</w:t>
      </w:r>
      <w:r w:rsidR="00393C52" w:rsidRPr="004F4843">
        <w:rPr>
          <w:rFonts w:ascii="Times New Roman" w:hAnsi="Times New Roman"/>
        </w:rPr>
        <w:t> </w:t>
      </w:r>
      <w:r w:rsidRPr="004F4843">
        <w:rPr>
          <w:rFonts w:ascii="Times New Roman" w:hAnsi="Times New Roman"/>
        </w:rPr>
        <w:t>pozdravom</w:t>
      </w:r>
      <w:r w:rsidR="00393C52" w:rsidRPr="004F4843">
        <w:rPr>
          <w:rFonts w:ascii="Times New Roman" w:hAnsi="Times New Roman"/>
        </w:rPr>
        <w:t>,</w:t>
      </w:r>
    </w:p>
    <w:p w14:paraId="4F8103FC" w14:textId="77777777" w:rsidR="00541E33" w:rsidRPr="004F4843" w:rsidRDefault="00541E33" w:rsidP="0028134B">
      <w:pPr>
        <w:pStyle w:val="Zarkazkladnhotextu"/>
        <w:spacing w:after="0"/>
        <w:ind w:left="993"/>
        <w:jc w:val="both"/>
        <w:rPr>
          <w:rFonts w:ascii="Times New Roman" w:hAnsi="Times New Roman"/>
        </w:rPr>
      </w:pPr>
    </w:p>
    <w:p w14:paraId="2382AF98" w14:textId="77777777" w:rsidR="00CD6A01" w:rsidRPr="004F4843" w:rsidRDefault="009D6023" w:rsidP="0028134B">
      <w:pPr>
        <w:pStyle w:val="Zarkazkladnhotextu"/>
        <w:spacing w:after="0"/>
        <w:ind w:left="993"/>
        <w:jc w:val="both"/>
        <w:rPr>
          <w:rFonts w:ascii="Times New Roman" w:hAnsi="Times New Roman"/>
        </w:rPr>
      </w:pPr>
      <w:r w:rsidRPr="004F4843">
        <w:rPr>
          <w:rFonts w:ascii="Times New Roman" w:hAnsi="Times New Roman"/>
        </w:rPr>
        <w:t>BM Energy, s.r.o.</w:t>
      </w:r>
    </w:p>
    <w:p w14:paraId="679713E9" w14:textId="77777777" w:rsidR="00541E33" w:rsidRPr="004F4843" w:rsidRDefault="009D6023" w:rsidP="0028134B">
      <w:pPr>
        <w:pStyle w:val="Zarkazkladnhotextu"/>
        <w:spacing w:after="0"/>
        <w:ind w:left="993"/>
        <w:jc w:val="both"/>
        <w:rPr>
          <w:rFonts w:ascii="Times New Roman" w:hAnsi="Times New Roman"/>
        </w:rPr>
      </w:pPr>
      <w:r w:rsidRPr="004F4843">
        <w:rPr>
          <w:rFonts w:ascii="Times New Roman" w:hAnsi="Times New Roman"/>
        </w:rPr>
        <w:t>Prevádzkovateľ MDS Bory Mall</w:t>
      </w:r>
    </w:p>
    <w:p w14:paraId="29E3CC9B" w14:textId="77777777" w:rsidR="00CD6A01" w:rsidRPr="004F4843" w:rsidRDefault="00CD6A01" w:rsidP="00CD6A01">
      <w:pPr>
        <w:ind w:left="5670"/>
        <w:rPr>
          <w:rFonts w:ascii="Times New Roman" w:hAnsi="Times New Roman"/>
          <w:color w:val="323232"/>
          <w:lang w:val="sk-SK"/>
        </w:rPr>
      </w:pPr>
    </w:p>
    <w:sectPr w:rsidR="00CD6A01" w:rsidRPr="004F4843" w:rsidSect="00A545DD">
      <w:headerReference w:type="default" r:id="rId16"/>
      <w:footerReference w:type="default" r:id="rId17"/>
      <w:pgSz w:w="11907" w:h="16839" w:code="9"/>
      <w:pgMar w:top="1560" w:right="1418" w:bottom="1440" w:left="1418"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CA93" w14:textId="77777777" w:rsidR="00A545DD" w:rsidRDefault="00A545DD" w:rsidP="00545600">
      <w:pPr>
        <w:spacing w:after="0" w:line="240" w:lineRule="auto"/>
      </w:pPr>
      <w:r>
        <w:separator/>
      </w:r>
    </w:p>
  </w:endnote>
  <w:endnote w:type="continuationSeparator" w:id="0">
    <w:p w14:paraId="5E3FD481" w14:textId="77777777" w:rsidR="00A545DD" w:rsidRDefault="00A545DD" w:rsidP="00545600">
      <w:pPr>
        <w:spacing w:after="0" w:line="240" w:lineRule="auto"/>
      </w:pPr>
      <w:r>
        <w:continuationSeparator/>
      </w:r>
    </w:p>
  </w:endnote>
  <w:endnote w:type="continuationNotice" w:id="1">
    <w:p w14:paraId="09A9C56B" w14:textId="77777777" w:rsidR="00A545DD" w:rsidRDefault="00A54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CE-Roman">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DINPro-Light">
    <w:panose1 w:val="00000000000000000000"/>
    <w:charset w:val="00"/>
    <w:family w:val="modern"/>
    <w:notTrueType/>
    <w:pitch w:val="variable"/>
    <w:sig w:usb0="800002AF" w:usb1="4000206A"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9923" w14:textId="77777777" w:rsidR="00E54B8E" w:rsidRDefault="00900318" w:rsidP="00900318">
    <w:pPr>
      <w:autoSpaceDE w:val="0"/>
      <w:autoSpaceDN w:val="0"/>
      <w:adjustRightInd w:val="0"/>
      <w:spacing w:after="0" w:line="240" w:lineRule="auto"/>
      <w:jc w:val="center"/>
      <w:rPr>
        <w:rFonts w:ascii="Verdana" w:hAnsi="Verdana" w:cs="DINPro-Light"/>
        <w:color w:val="1F0000"/>
        <w:spacing w:val="-8"/>
        <w:sz w:val="20"/>
        <w:szCs w:val="16"/>
      </w:rPr>
    </w:pPr>
    <w:r w:rsidRPr="00900318">
      <w:rPr>
        <w:rFonts w:ascii="Verdana" w:hAnsi="Verdana" w:cs="DINPro-Light"/>
        <w:color w:val="1F0000"/>
        <w:spacing w:val="-8"/>
        <w:sz w:val="20"/>
        <w:szCs w:val="16"/>
      </w:rPr>
      <w:t>B</w:t>
    </w:r>
    <w:r w:rsidR="00867909" w:rsidRPr="00900318">
      <w:rPr>
        <w:rFonts w:ascii="Verdana" w:hAnsi="Verdana" w:cs="DINPro-Light"/>
        <w:color w:val="1F0000"/>
        <w:spacing w:val="-8"/>
        <w:sz w:val="20"/>
        <w:szCs w:val="16"/>
      </w:rPr>
      <w:t>M</w:t>
    </w:r>
    <w:r w:rsidRPr="00900318">
      <w:rPr>
        <w:rFonts w:ascii="Verdana" w:hAnsi="Verdana" w:cs="DINPro-Light"/>
        <w:color w:val="1F0000"/>
        <w:spacing w:val="-8"/>
        <w:sz w:val="20"/>
        <w:szCs w:val="16"/>
      </w:rPr>
      <w:t xml:space="preserve"> Energy</w:t>
    </w:r>
    <w:r w:rsidR="008061B6">
      <w:rPr>
        <w:rFonts w:ascii="Verdana" w:hAnsi="Verdana" w:cs="DINPro-Light"/>
        <w:color w:val="1F0000"/>
        <w:spacing w:val="-8"/>
        <w:sz w:val="20"/>
        <w:szCs w:val="16"/>
      </w:rPr>
      <w:t>, s.r.o.</w:t>
    </w:r>
    <w:r w:rsidR="00E54B8E" w:rsidRPr="00900318">
      <w:rPr>
        <w:rFonts w:ascii="Verdana" w:hAnsi="Verdana" w:cs="DINPro-Light"/>
        <w:color w:val="1F0000"/>
        <w:spacing w:val="-8"/>
        <w:sz w:val="20"/>
        <w:szCs w:val="16"/>
      </w:rPr>
      <w:t xml:space="preserve">, </w:t>
    </w:r>
    <w:r w:rsidR="00CD6A01">
      <w:rPr>
        <w:rFonts w:ascii="Verdana" w:hAnsi="Verdana" w:cs="DINPro-Light"/>
        <w:color w:val="1F0000"/>
        <w:spacing w:val="-8"/>
        <w:sz w:val="20"/>
        <w:szCs w:val="16"/>
      </w:rPr>
      <w:t>Lamač 6780</w:t>
    </w:r>
    <w:r w:rsidR="00E54B8E" w:rsidRPr="00900318">
      <w:rPr>
        <w:rFonts w:ascii="Verdana" w:hAnsi="Verdana" w:cs="DINPro-Light"/>
        <w:color w:val="1F0000"/>
        <w:spacing w:val="-8"/>
        <w:sz w:val="20"/>
        <w:szCs w:val="16"/>
      </w:rPr>
      <w:t>, 8</w:t>
    </w:r>
    <w:r w:rsidR="00CD6A01">
      <w:rPr>
        <w:rFonts w:ascii="Verdana" w:hAnsi="Verdana" w:cs="DINPro-Light"/>
        <w:color w:val="1F0000"/>
        <w:spacing w:val="-8"/>
        <w:sz w:val="20"/>
        <w:szCs w:val="16"/>
      </w:rPr>
      <w:t>41</w:t>
    </w:r>
    <w:r w:rsidR="00E54B8E" w:rsidRPr="00900318">
      <w:rPr>
        <w:rFonts w:ascii="Verdana" w:hAnsi="Verdana" w:cs="DINPro-Light"/>
        <w:color w:val="1F0000"/>
        <w:spacing w:val="-8"/>
        <w:sz w:val="20"/>
        <w:szCs w:val="16"/>
      </w:rPr>
      <w:t xml:space="preserve"> 0</w:t>
    </w:r>
    <w:r w:rsidR="00CD6A01">
      <w:rPr>
        <w:rFonts w:ascii="Verdana" w:hAnsi="Verdana" w:cs="DINPro-Light"/>
        <w:color w:val="1F0000"/>
        <w:spacing w:val="-8"/>
        <w:sz w:val="20"/>
        <w:szCs w:val="16"/>
      </w:rPr>
      <w:t>3</w:t>
    </w:r>
    <w:r w:rsidR="00E54B8E" w:rsidRPr="00900318">
      <w:rPr>
        <w:rFonts w:ascii="Verdana" w:hAnsi="Verdana" w:cs="DINPro-Light"/>
        <w:color w:val="1F0000"/>
        <w:spacing w:val="-8"/>
        <w:sz w:val="20"/>
        <w:szCs w:val="16"/>
      </w:rPr>
      <w:t xml:space="preserve"> Bratislava, I</w:t>
    </w:r>
    <w:r w:rsidR="00E54B8E" w:rsidRPr="00900318">
      <w:rPr>
        <w:rFonts w:ascii="Verdana" w:hAnsi="Verdana" w:cs="DINPro-Light"/>
        <w:color w:val="1F0000"/>
        <w:spacing w:val="-8"/>
        <w:sz w:val="20"/>
        <w:szCs w:val="16"/>
        <w:lang w:val="sk-SK"/>
      </w:rPr>
      <w:t>Č</w:t>
    </w:r>
    <w:r w:rsidR="00E54B8E" w:rsidRPr="00900318">
      <w:rPr>
        <w:rFonts w:ascii="Verdana" w:hAnsi="Verdana" w:cs="DINPro-Light"/>
        <w:color w:val="1F0000"/>
        <w:spacing w:val="-8"/>
        <w:sz w:val="20"/>
        <w:szCs w:val="16"/>
      </w:rPr>
      <w:t xml:space="preserve">O: </w:t>
    </w:r>
    <w:r w:rsidRPr="00900318">
      <w:rPr>
        <w:rFonts w:ascii="Verdana" w:hAnsi="Verdana" w:cs="DINPro-Light"/>
        <w:color w:val="1F0000"/>
        <w:spacing w:val="-8"/>
        <w:sz w:val="20"/>
        <w:szCs w:val="16"/>
      </w:rPr>
      <w:t>47 329</w:t>
    </w:r>
    <w:r w:rsidR="00793168">
      <w:rPr>
        <w:rFonts w:ascii="Verdana" w:hAnsi="Verdana" w:cs="DINPro-Light"/>
        <w:color w:val="1F0000"/>
        <w:spacing w:val="-8"/>
        <w:sz w:val="20"/>
        <w:szCs w:val="16"/>
      </w:rPr>
      <w:t> </w:t>
    </w:r>
    <w:r w:rsidRPr="00900318">
      <w:rPr>
        <w:rFonts w:ascii="Verdana" w:hAnsi="Verdana" w:cs="DINPro-Light"/>
        <w:color w:val="1F0000"/>
        <w:spacing w:val="-8"/>
        <w:sz w:val="20"/>
        <w:szCs w:val="16"/>
      </w:rPr>
      <w:t>238</w:t>
    </w:r>
    <w:r w:rsidR="00E54B8E" w:rsidRPr="00900318">
      <w:rPr>
        <w:rFonts w:ascii="Verdana" w:hAnsi="Verdana" w:cs="DINPro-Light"/>
        <w:color w:val="1F0000"/>
        <w:spacing w:val="-8"/>
        <w:sz w:val="20"/>
        <w:szCs w:val="16"/>
      </w:rPr>
      <w:t>,</w:t>
    </w:r>
  </w:p>
  <w:p w14:paraId="6F19D198" w14:textId="7CD2EEE0" w:rsidR="00793168" w:rsidRPr="005D20FA" w:rsidRDefault="00793168" w:rsidP="00793168">
    <w:pPr>
      <w:autoSpaceDE w:val="0"/>
      <w:autoSpaceDN w:val="0"/>
      <w:adjustRightInd w:val="0"/>
      <w:spacing w:after="0" w:line="240" w:lineRule="auto"/>
      <w:jc w:val="center"/>
      <w:rPr>
        <w:rFonts w:ascii="Verdana" w:hAnsi="Verdana" w:cs="DINPro-Light"/>
        <w:b/>
        <w:color w:val="1F0000"/>
        <w:spacing w:val="-8"/>
        <w:sz w:val="20"/>
        <w:szCs w:val="16"/>
      </w:rPr>
    </w:pPr>
    <w:r w:rsidRPr="005D20FA">
      <w:rPr>
        <w:rFonts w:ascii="Verdana" w:hAnsi="Verdana" w:cs="DINPro-Light"/>
        <w:b/>
        <w:color w:val="1F0000"/>
        <w:spacing w:val="-8"/>
        <w:sz w:val="20"/>
        <w:szCs w:val="16"/>
      </w:rPr>
      <w:t xml:space="preserve">e-mail: </w:t>
    </w:r>
    <w:hyperlink r:id="rId1" w:history="1">
      <w:r w:rsidR="005D20FA" w:rsidRPr="005D20FA">
        <w:rPr>
          <w:rStyle w:val="Hypertextovprepojenie"/>
          <w:rFonts w:ascii="Verdana" w:hAnsi="Verdana" w:cs="DINPro-Light"/>
          <w:b/>
          <w:spacing w:val="-8"/>
          <w:sz w:val="20"/>
          <w:szCs w:val="16"/>
        </w:rPr>
        <w:t>elektrina@bmenergy.sk</w:t>
      </w:r>
    </w:hyperlink>
    <w:r w:rsidR="005D20FA" w:rsidRPr="005D20FA">
      <w:rPr>
        <w:rFonts w:ascii="Verdana" w:hAnsi="Verdana" w:cs="DINPro-Light"/>
        <w:b/>
        <w:color w:val="1F0000"/>
        <w:spacing w:val="-8"/>
        <w:sz w:val="20"/>
        <w:szCs w:val="16"/>
      </w:rPr>
      <w:t xml:space="preserve"> </w:t>
    </w:r>
  </w:p>
  <w:p w14:paraId="4C8A940D" w14:textId="77777777" w:rsidR="00EA07FB" w:rsidRPr="005D20FA" w:rsidRDefault="00EA07FB" w:rsidP="00DD6B94">
    <w:pPr>
      <w:autoSpaceDE w:val="0"/>
      <w:autoSpaceDN w:val="0"/>
      <w:adjustRightInd w:val="0"/>
      <w:spacing w:after="0" w:line="240" w:lineRule="auto"/>
      <w:rPr>
        <w:rFonts w:ascii="Verdana" w:hAnsi="Verdana" w:cs="DINPro-Light"/>
        <w:b/>
        <w:color w:val="000000"/>
        <w:spacing w:val="-8"/>
        <w:sz w:val="16"/>
        <w:szCs w:val="20"/>
      </w:rPr>
    </w:pPr>
    <w:r w:rsidRPr="005D20FA">
      <w:rPr>
        <w:rFonts w:ascii="Verdana" w:hAnsi="Verdana" w:cs="DINPro-Light"/>
        <w:b/>
        <w:color w:val="1F0000"/>
        <w:spacing w:val="-8"/>
        <w:sz w:val="16"/>
        <w:szCs w:val="16"/>
      </w:rPr>
      <w:t xml:space="preserve">   </w:t>
    </w:r>
  </w:p>
  <w:p w14:paraId="7B5E9CD9" w14:textId="77777777" w:rsidR="00C32984" w:rsidRPr="00867909" w:rsidRDefault="00C32984">
    <w:pPr>
      <w:pStyle w:val="Pta"/>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F2C6" w14:textId="77777777" w:rsidR="00A545DD" w:rsidRDefault="00A545DD" w:rsidP="00545600">
      <w:pPr>
        <w:spacing w:after="0" w:line="240" w:lineRule="auto"/>
      </w:pPr>
      <w:r>
        <w:separator/>
      </w:r>
    </w:p>
  </w:footnote>
  <w:footnote w:type="continuationSeparator" w:id="0">
    <w:p w14:paraId="4EAE8321" w14:textId="77777777" w:rsidR="00A545DD" w:rsidRDefault="00A545DD" w:rsidP="00545600">
      <w:pPr>
        <w:spacing w:after="0" w:line="240" w:lineRule="auto"/>
      </w:pPr>
      <w:r>
        <w:continuationSeparator/>
      </w:r>
    </w:p>
  </w:footnote>
  <w:footnote w:type="continuationNotice" w:id="1">
    <w:p w14:paraId="706FC5F3" w14:textId="77777777" w:rsidR="00A545DD" w:rsidRDefault="00A54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0169" w14:textId="49026B15" w:rsidR="00545600" w:rsidRPr="00CC2CA8" w:rsidRDefault="00785110" w:rsidP="00C32984">
    <w:pPr>
      <w:autoSpaceDE w:val="0"/>
      <w:autoSpaceDN w:val="0"/>
      <w:adjustRightInd w:val="0"/>
      <w:spacing w:after="0" w:line="240" w:lineRule="auto"/>
      <w:rPr>
        <w:rFonts w:ascii="Verdana" w:hAnsi="Verdana"/>
        <w:b/>
      </w:rPr>
    </w:pPr>
    <w:r>
      <w:rPr>
        <w:rFonts w:ascii="Verdana" w:hAnsi="Verdana"/>
        <w:b/>
        <w:noProof/>
      </w:rPr>
      <w:pict w14:anchorId="238FA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0;margin-top:756.95pt;width:595.55pt;height:86.85pt;z-index:-251658752;visibility:visible;mso-position-horizontal-relative:page;mso-position-vertical-relative:page">
          <v:imagedata r:id="rId1" o:title=""/>
          <w10:wrap anchorx="page" anchory="page"/>
        </v:shape>
      </w:pict>
    </w:r>
    <w:r w:rsidR="00CC2CA8" w:rsidRPr="00CC2CA8">
      <w:rPr>
        <w:rFonts w:ascii="Verdana" w:hAnsi="Verdana"/>
        <w:b/>
      </w:rPr>
      <w:t>BM Energy,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BBB"/>
    <w:multiLevelType w:val="multilevel"/>
    <w:tmpl w:val="9864CD34"/>
    <w:lvl w:ilvl="0">
      <w:start w:val="1"/>
      <w:numFmt w:val="upperRoman"/>
      <w:suff w:val="space"/>
      <w:lvlText w:val="Článok %1. -"/>
      <w:lvlJc w:val="left"/>
      <w:pPr>
        <w:ind w:left="0" w:firstLine="0"/>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1">
      <w:start w:val="1"/>
      <w:numFmt w:val="upperRoman"/>
      <w:lvlText w:val="%2."/>
      <w:lvlJc w:val="left"/>
      <w:pPr>
        <w:tabs>
          <w:tab w:val="num" w:pos="567"/>
        </w:tabs>
        <w:ind w:left="567" w:hanging="567"/>
      </w:pPr>
      <w:rPr>
        <w:rFonts w:ascii="Times New Roman" w:hAnsi="Times New Roman" w:cs="Times New Roman" w:hint="default"/>
        <w:b/>
        <w:i w:val="0"/>
        <w:sz w:val="24"/>
      </w:rPr>
    </w:lvl>
    <w:lvl w:ilvl="2">
      <w:start w:val="1"/>
      <w:numFmt w:val="decimal"/>
      <w:lvlText w:val="%2.%3"/>
      <w:lvlJc w:val="left"/>
      <w:pPr>
        <w:tabs>
          <w:tab w:val="num" w:pos="567"/>
        </w:tabs>
        <w:ind w:left="567" w:hanging="567"/>
      </w:pPr>
      <w:rPr>
        <w:rFonts w:ascii="Times New Roman" w:hAnsi="Times New Roman" w:cs="Times New Roman" w:hint="default"/>
        <w:sz w:val="20"/>
      </w:rPr>
    </w:lvl>
    <w:lvl w:ilvl="3">
      <w:start w:val="1"/>
      <w:numFmt w:val="lowerLetter"/>
      <w:lvlText w:val="%4)"/>
      <w:lvlJc w:val="left"/>
      <w:pPr>
        <w:tabs>
          <w:tab w:val="num" w:pos="851"/>
        </w:tabs>
        <w:ind w:left="851" w:hanging="284"/>
      </w:pPr>
      <w:rPr>
        <w:rFonts w:ascii="Times New Roman" w:hAnsi="Times New Roman" w:cs="Times New Roman" w:hint="default"/>
        <w:sz w:val="20"/>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3C4317C"/>
    <w:multiLevelType w:val="hybridMultilevel"/>
    <w:tmpl w:val="092643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54D0DBC"/>
    <w:multiLevelType w:val="multilevel"/>
    <w:tmpl w:val="669014DA"/>
    <w:lvl w:ilvl="0">
      <w:start w:val="3"/>
      <w:numFmt w:val="decimal"/>
      <w:lvlText w:val="%1"/>
      <w:lvlJc w:val="left"/>
      <w:pPr>
        <w:tabs>
          <w:tab w:val="num" w:pos="360"/>
        </w:tabs>
        <w:ind w:left="360" w:hanging="360"/>
      </w:pPr>
    </w:lvl>
    <w:lvl w:ilvl="1">
      <w:start w:val="1"/>
      <w:numFmt w:val="decimal"/>
      <w:lvlText w:val="1.%2"/>
      <w:lvlJc w:val="left"/>
      <w:pPr>
        <w:ind w:left="360" w:hanging="360"/>
      </w:pPr>
    </w:lvl>
    <w:lvl w:ilvl="2">
      <w:start w:val="1"/>
      <w:numFmt w:val="lowerLetter"/>
      <w:lvlText w:val="%3)"/>
      <w:lvlJc w:val="left"/>
      <w:pPr>
        <w:tabs>
          <w:tab w:val="num" w:pos="720"/>
        </w:tabs>
        <w:ind w:left="720" w:hanging="720"/>
      </w:pPr>
      <w:rPr>
        <w:b w:val="0"/>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B024DDC"/>
    <w:multiLevelType w:val="hybridMultilevel"/>
    <w:tmpl w:val="A1500E28"/>
    <w:lvl w:ilvl="0" w:tplc="64BE38E4">
      <w:start w:val="1"/>
      <w:numFmt w:val="lowerLetter"/>
      <w:lvlText w:val="%1)"/>
      <w:lvlJc w:val="left"/>
      <w:pPr>
        <w:ind w:left="927" w:hanging="360"/>
      </w:pPr>
      <w:rPr>
        <w:rFonts w:ascii="Times New Roman" w:hAnsi="Times New Roman" w:hint="default"/>
        <w:b w:val="0"/>
        <w:bCs/>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996306920">
    <w:abstractNumId w:val="1"/>
  </w:num>
  <w:num w:numId="2" w16cid:durableId="1987514222">
    <w:abstractNumId w:val="0"/>
    <w:lvlOverride w:ilvl="0">
      <w:lvl w:ilvl="0">
        <w:start w:val="1"/>
        <w:numFmt w:val="decimal"/>
        <w:suff w:val="space"/>
        <w:lvlText w:val="Článok %1. -"/>
        <w:lvlJc w:val="left"/>
        <w:pPr>
          <w:ind w:left="0" w:firstLine="0"/>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Override>
    <w:lvlOverride w:ilvl="1">
      <w:lvl w:ilvl="1">
        <w:start w:val="1"/>
        <w:numFmt w:val="decimal"/>
        <w:lvlText w:val="%2."/>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0"/>
          <w:u w:val="none"/>
          <w:effect w:val="none"/>
          <w:vertAlign w:val="baseline"/>
          <w:specVanish w:val="0"/>
        </w:rPr>
      </w:lvl>
    </w:lvlOverride>
    <w:lvlOverride w:ilvl="2">
      <w:lvl w:ilvl="2">
        <w:start w:val="1"/>
        <w:numFmt w:val="decimal"/>
        <w:isLgl/>
        <w:lvlText w:val="%2.%3"/>
        <w:lvlJc w:val="left"/>
        <w:pPr>
          <w:tabs>
            <w:tab w:val="num" w:pos="567"/>
          </w:tabs>
          <w:ind w:left="567" w:hanging="567"/>
        </w:pPr>
        <w:rPr>
          <w:rFonts w:ascii="Times New Roman" w:hAnsi="Times New Roman" w:cs="Times New Roman" w:hint="default"/>
          <w:sz w:val="20"/>
        </w:rPr>
      </w:lvl>
    </w:lvlOverride>
    <w:lvlOverride w:ilvl="3">
      <w:lvl w:ilvl="3">
        <w:start w:val="1"/>
        <w:numFmt w:val="decimal"/>
        <w:lvlText w:val="%4)"/>
        <w:lvlJc w:val="left"/>
        <w:pPr>
          <w:tabs>
            <w:tab w:val="num" w:pos="851"/>
          </w:tabs>
          <w:ind w:left="851" w:hanging="284"/>
        </w:pPr>
        <w:rPr>
          <w:rFonts w:ascii="Times New Roman" w:hAnsi="Times New Roman" w:cs="Times New Roman" w:hint="default"/>
          <w:sz w:val="20"/>
        </w:rPr>
      </w:lvl>
    </w:lvlOverride>
    <w:lvlOverride w:ilvl="4">
      <w:lvl w:ilvl="4">
        <w:start w:val="1"/>
        <w:numFmt w:val="decimal"/>
        <w:lvlText w:val="%5)"/>
        <w:lvlJc w:val="left"/>
        <w:pPr>
          <w:ind w:left="1008" w:hanging="432"/>
        </w:pPr>
      </w:lvl>
    </w:lvlOverride>
    <w:lvlOverride w:ilvl="5">
      <w:lvl w:ilvl="5">
        <w:start w:val="1"/>
        <w:numFmt w:val="decimal"/>
        <w:lvlText w:val="%6)"/>
        <w:lvlJc w:val="left"/>
        <w:pPr>
          <w:ind w:left="1152" w:hanging="432"/>
        </w:pPr>
      </w:lvl>
    </w:lvlOverride>
    <w:lvlOverride w:ilvl="6">
      <w:lvl w:ilvl="6">
        <w:start w:val="1"/>
        <w:numFmt w:val="decimal"/>
        <w:lvlText w:val="%7)"/>
        <w:lvlJc w:val="right"/>
        <w:pPr>
          <w:ind w:left="1296" w:hanging="288"/>
        </w:pPr>
      </w:lvl>
    </w:lvlOverride>
    <w:lvlOverride w:ilvl="7">
      <w:lvl w:ilvl="7">
        <w:start w:val="1"/>
        <w:numFmt w:val="decimal"/>
        <w:lvlText w:val="%8."/>
        <w:lvlJc w:val="left"/>
        <w:pPr>
          <w:ind w:left="1440" w:hanging="432"/>
        </w:pPr>
      </w:lvl>
    </w:lvlOverride>
    <w:lvlOverride w:ilvl="8">
      <w:lvl w:ilvl="8">
        <w:start w:val="1"/>
        <w:numFmt w:val="decimal"/>
        <w:lvlText w:val="%9."/>
        <w:lvlJc w:val="right"/>
        <w:pPr>
          <w:ind w:left="1584" w:hanging="144"/>
        </w:pPr>
      </w:lvl>
    </w:lvlOverride>
  </w:num>
  <w:num w:numId="3" w16cid:durableId="809592102">
    <w:abstractNumId w:val="3"/>
  </w:num>
  <w:num w:numId="4" w16cid:durableId="82450985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122149">
    <w:abstractNumId w:val="0"/>
    <w:lvlOverride w:ilvl="0">
      <w:lvl w:ilvl="0">
        <w:start w:val="1"/>
        <w:numFmt w:val="decimal"/>
        <w:suff w:val="space"/>
        <w:lvlText w:val="Článok %1. -"/>
        <w:lvlJc w:val="left"/>
        <w:pPr>
          <w:ind w:left="0" w:firstLine="0"/>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Override>
    <w:lvlOverride w:ilvl="1">
      <w:lvl w:ilvl="1">
        <w:start w:val="1"/>
        <w:numFmt w:val="decimal"/>
        <w:lvlText w:val="%2."/>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0"/>
          <w:u w:val="none"/>
          <w:effect w:val="none"/>
          <w:vertAlign w:val="baseline"/>
          <w:specVanish w:val="0"/>
        </w:rPr>
      </w:lvl>
    </w:lvlOverride>
    <w:lvlOverride w:ilvl="2">
      <w:lvl w:ilvl="2">
        <w:start w:val="1"/>
        <w:numFmt w:val="decimal"/>
        <w:isLgl/>
        <w:lvlText w:val="%2.%3"/>
        <w:lvlJc w:val="left"/>
        <w:pPr>
          <w:tabs>
            <w:tab w:val="num" w:pos="567"/>
          </w:tabs>
          <w:ind w:left="567" w:hanging="567"/>
        </w:pPr>
        <w:rPr>
          <w:rFonts w:ascii="Times New Roman" w:hAnsi="Times New Roman" w:cs="Times New Roman" w:hint="default"/>
          <w:sz w:val="20"/>
        </w:rPr>
      </w:lvl>
    </w:lvlOverride>
    <w:lvlOverride w:ilvl="3">
      <w:lvl w:ilvl="3">
        <w:start w:val="1"/>
        <w:numFmt w:val="decimal"/>
        <w:lvlText w:val="%4)"/>
        <w:lvlJc w:val="left"/>
        <w:pPr>
          <w:tabs>
            <w:tab w:val="num" w:pos="851"/>
          </w:tabs>
          <w:ind w:left="851" w:hanging="284"/>
        </w:pPr>
        <w:rPr>
          <w:rFonts w:ascii="Times New Roman" w:hAnsi="Times New Roman" w:cs="Times New Roman" w:hint="default"/>
          <w:sz w:val="20"/>
        </w:rPr>
      </w:lvl>
    </w:lvlOverride>
    <w:lvlOverride w:ilvl="4">
      <w:lvl w:ilvl="4">
        <w:start w:val="1"/>
        <w:numFmt w:val="decimal"/>
        <w:lvlText w:val="%5)"/>
        <w:lvlJc w:val="left"/>
        <w:pPr>
          <w:ind w:left="1008" w:hanging="432"/>
        </w:pPr>
      </w:lvl>
    </w:lvlOverride>
    <w:lvlOverride w:ilvl="5">
      <w:lvl w:ilvl="5">
        <w:start w:val="1"/>
        <w:numFmt w:val="decimal"/>
        <w:lvlText w:val="%6)"/>
        <w:lvlJc w:val="left"/>
        <w:pPr>
          <w:ind w:left="1152" w:hanging="432"/>
        </w:pPr>
      </w:lvl>
    </w:lvlOverride>
    <w:lvlOverride w:ilvl="6">
      <w:lvl w:ilvl="6">
        <w:start w:val="1"/>
        <w:numFmt w:val="decimal"/>
        <w:lvlText w:val="%7)"/>
        <w:lvlJc w:val="right"/>
        <w:pPr>
          <w:ind w:left="1296" w:hanging="288"/>
        </w:pPr>
      </w:lvl>
    </w:lvlOverride>
    <w:lvlOverride w:ilvl="7">
      <w:lvl w:ilvl="7">
        <w:start w:val="1"/>
        <w:numFmt w:val="decimal"/>
        <w:lvlText w:val="%8."/>
        <w:lvlJc w:val="left"/>
        <w:pPr>
          <w:ind w:left="1440" w:hanging="432"/>
        </w:pPr>
      </w:lvl>
    </w:lvlOverride>
    <w:lvlOverride w:ilvl="8">
      <w:lvl w:ilvl="8">
        <w:start w:val="1"/>
        <w:numFmt w:val="decimal"/>
        <w:lvlText w:val="%9."/>
        <w:lvlJc w:val="right"/>
        <w:pPr>
          <w:ind w:left="1584" w:hanging="14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600"/>
    <w:rsid w:val="0000184D"/>
    <w:rsid w:val="000107EB"/>
    <w:rsid w:val="00017A73"/>
    <w:rsid w:val="00050CB9"/>
    <w:rsid w:val="00051A5F"/>
    <w:rsid w:val="0006084D"/>
    <w:rsid w:val="000D0922"/>
    <w:rsid w:val="000D0DB7"/>
    <w:rsid w:val="00103729"/>
    <w:rsid w:val="00143F26"/>
    <w:rsid w:val="00146BD4"/>
    <w:rsid w:val="00156A7F"/>
    <w:rsid w:val="00182D39"/>
    <w:rsid w:val="001934A9"/>
    <w:rsid w:val="001E1E3F"/>
    <w:rsid w:val="001E1F6D"/>
    <w:rsid w:val="001F6229"/>
    <w:rsid w:val="0022443F"/>
    <w:rsid w:val="00224E91"/>
    <w:rsid w:val="0024738A"/>
    <w:rsid w:val="002804A2"/>
    <w:rsid w:val="0028134B"/>
    <w:rsid w:val="0028378D"/>
    <w:rsid w:val="00295717"/>
    <w:rsid w:val="002A7802"/>
    <w:rsid w:val="002C174C"/>
    <w:rsid w:val="002D54AE"/>
    <w:rsid w:val="003343F0"/>
    <w:rsid w:val="00337677"/>
    <w:rsid w:val="00361243"/>
    <w:rsid w:val="00393C52"/>
    <w:rsid w:val="003A319F"/>
    <w:rsid w:val="003C03A2"/>
    <w:rsid w:val="003D0D56"/>
    <w:rsid w:val="003F07E4"/>
    <w:rsid w:val="00401AF5"/>
    <w:rsid w:val="004144AB"/>
    <w:rsid w:val="0041470D"/>
    <w:rsid w:val="00452C37"/>
    <w:rsid w:val="004852EA"/>
    <w:rsid w:val="00495401"/>
    <w:rsid w:val="004E0AFA"/>
    <w:rsid w:val="004F4843"/>
    <w:rsid w:val="004F6FFA"/>
    <w:rsid w:val="00503612"/>
    <w:rsid w:val="00503614"/>
    <w:rsid w:val="00512599"/>
    <w:rsid w:val="0052244C"/>
    <w:rsid w:val="00541E33"/>
    <w:rsid w:val="00543D21"/>
    <w:rsid w:val="00545600"/>
    <w:rsid w:val="005457BF"/>
    <w:rsid w:val="00556F12"/>
    <w:rsid w:val="005743FA"/>
    <w:rsid w:val="00581A29"/>
    <w:rsid w:val="005C3767"/>
    <w:rsid w:val="005C55D7"/>
    <w:rsid w:val="005D20FA"/>
    <w:rsid w:val="005E24FD"/>
    <w:rsid w:val="005F134B"/>
    <w:rsid w:val="005F6C87"/>
    <w:rsid w:val="0061181C"/>
    <w:rsid w:val="00613412"/>
    <w:rsid w:val="006242BF"/>
    <w:rsid w:val="00633092"/>
    <w:rsid w:val="00670C75"/>
    <w:rsid w:val="0067115F"/>
    <w:rsid w:val="00691AFF"/>
    <w:rsid w:val="006A1753"/>
    <w:rsid w:val="006B5A83"/>
    <w:rsid w:val="006C0CCC"/>
    <w:rsid w:val="006C6873"/>
    <w:rsid w:val="006D36DC"/>
    <w:rsid w:val="006D5F76"/>
    <w:rsid w:val="006F5C19"/>
    <w:rsid w:val="006F63E7"/>
    <w:rsid w:val="007159D8"/>
    <w:rsid w:val="007437B2"/>
    <w:rsid w:val="00746C6B"/>
    <w:rsid w:val="00767BD0"/>
    <w:rsid w:val="00784E7A"/>
    <w:rsid w:val="00785110"/>
    <w:rsid w:val="0079117F"/>
    <w:rsid w:val="00793168"/>
    <w:rsid w:val="007A47BA"/>
    <w:rsid w:val="007A74E6"/>
    <w:rsid w:val="007B2FD0"/>
    <w:rsid w:val="007B5665"/>
    <w:rsid w:val="007C4743"/>
    <w:rsid w:val="007D1898"/>
    <w:rsid w:val="007E6467"/>
    <w:rsid w:val="007F30E8"/>
    <w:rsid w:val="008028D2"/>
    <w:rsid w:val="008061B6"/>
    <w:rsid w:val="00811F31"/>
    <w:rsid w:val="00832EED"/>
    <w:rsid w:val="008349F7"/>
    <w:rsid w:val="00867314"/>
    <w:rsid w:val="00867909"/>
    <w:rsid w:val="00891437"/>
    <w:rsid w:val="008C00A7"/>
    <w:rsid w:val="008D7B1B"/>
    <w:rsid w:val="00900318"/>
    <w:rsid w:val="00914365"/>
    <w:rsid w:val="009164BB"/>
    <w:rsid w:val="00942A0D"/>
    <w:rsid w:val="00946BDE"/>
    <w:rsid w:val="00950875"/>
    <w:rsid w:val="00973EAC"/>
    <w:rsid w:val="00984226"/>
    <w:rsid w:val="00985625"/>
    <w:rsid w:val="009B3F8B"/>
    <w:rsid w:val="009B4279"/>
    <w:rsid w:val="009D6023"/>
    <w:rsid w:val="00A130A0"/>
    <w:rsid w:val="00A14275"/>
    <w:rsid w:val="00A2259D"/>
    <w:rsid w:val="00A359A2"/>
    <w:rsid w:val="00A44C07"/>
    <w:rsid w:val="00A456A1"/>
    <w:rsid w:val="00A545DD"/>
    <w:rsid w:val="00A70753"/>
    <w:rsid w:val="00AB3823"/>
    <w:rsid w:val="00AC5989"/>
    <w:rsid w:val="00AD69E6"/>
    <w:rsid w:val="00AE69B5"/>
    <w:rsid w:val="00B41970"/>
    <w:rsid w:val="00B438CC"/>
    <w:rsid w:val="00B44ACF"/>
    <w:rsid w:val="00BB257E"/>
    <w:rsid w:val="00BF789F"/>
    <w:rsid w:val="00BF78CF"/>
    <w:rsid w:val="00C27BD7"/>
    <w:rsid w:val="00C30F02"/>
    <w:rsid w:val="00C32984"/>
    <w:rsid w:val="00C43BFE"/>
    <w:rsid w:val="00C72FEA"/>
    <w:rsid w:val="00C82CEA"/>
    <w:rsid w:val="00C90DDC"/>
    <w:rsid w:val="00CC2CA8"/>
    <w:rsid w:val="00CD6A01"/>
    <w:rsid w:val="00CE151F"/>
    <w:rsid w:val="00CE6309"/>
    <w:rsid w:val="00D205E1"/>
    <w:rsid w:val="00D449EA"/>
    <w:rsid w:val="00D52AE2"/>
    <w:rsid w:val="00D82925"/>
    <w:rsid w:val="00DA00B2"/>
    <w:rsid w:val="00DA26E3"/>
    <w:rsid w:val="00DB5F84"/>
    <w:rsid w:val="00DC684A"/>
    <w:rsid w:val="00DD4C03"/>
    <w:rsid w:val="00DD4C6E"/>
    <w:rsid w:val="00DD5362"/>
    <w:rsid w:val="00DD6B94"/>
    <w:rsid w:val="00DF0012"/>
    <w:rsid w:val="00E1797B"/>
    <w:rsid w:val="00E32536"/>
    <w:rsid w:val="00E409AA"/>
    <w:rsid w:val="00E51CB2"/>
    <w:rsid w:val="00E54B8E"/>
    <w:rsid w:val="00E569A5"/>
    <w:rsid w:val="00E75978"/>
    <w:rsid w:val="00E81D2A"/>
    <w:rsid w:val="00E861AD"/>
    <w:rsid w:val="00E926F9"/>
    <w:rsid w:val="00EA07FB"/>
    <w:rsid w:val="00EA0A8A"/>
    <w:rsid w:val="00EA3F51"/>
    <w:rsid w:val="00EF2289"/>
    <w:rsid w:val="00F13DFE"/>
    <w:rsid w:val="00F22986"/>
    <w:rsid w:val="00F267B5"/>
    <w:rsid w:val="00F3427B"/>
    <w:rsid w:val="00F34778"/>
    <w:rsid w:val="00F445C2"/>
    <w:rsid w:val="00F44D42"/>
    <w:rsid w:val="00F45C96"/>
    <w:rsid w:val="00F46BE8"/>
    <w:rsid w:val="00F55E88"/>
    <w:rsid w:val="00F67C68"/>
    <w:rsid w:val="00F96316"/>
    <w:rsid w:val="00F97227"/>
    <w:rsid w:val="00FB1F02"/>
    <w:rsid w:val="00FB37CE"/>
    <w:rsid w:val="00FC459B"/>
    <w:rsid w:val="00FD2429"/>
    <w:rsid w:val="00FE00B9"/>
    <w:rsid w:val="00FE1F57"/>
    <w:rsid w:val="00FE7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537145"/>
  <w15:chartTrackingRefBased/>
  <w15:docId w15:val="{F6997EF0-595C-47BD-AAFD-F1BA81F0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3823"/>
    <w:pPr>
      <w:spacing w:after="200" w:line="276" w:lineRule="auto"/>
    </w:pPr>
    <w:rPr>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45600"/>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545600"/>
  </w:style>
  <w:style w:type="paragraph" w:styleId="Pta">
    <w:name w:val="footer"/>
    <w:basedOn w:val="Normlny"/>
    <w:link w:val="PtaChar"/>
    <w:uiPriority w:val="99"/>
    <w:unhideWhenUsed/>
    <w:rsid w:val="00545600"/>
    <w:pPr>
      <w:tabs>
        <w:tab w:val="center" w:pos="4680"/>
        <w:tab w:val="right" w:pos="9360"/>
      </w:tabs>
      <w:spacing w:after="0" w:line="240" w:lineRule="auto"/>
    </w:pPr>
  </w:style>
  <w:style w:type="character" w:customStyle="1" w:styleId="PtaChar">
    <w:name w:val="Päta Char"/>
    <w:basedOn w:val="Predvolenpsmoodseku"/>
    <w:link w:val="Pta"/>
    <w:uiPriority w:val="99"/>
    <w:rsid w:val="00545600"/>
  </w:style>
  <w:style w:type="paragraph" w:styleId="Textbubliny">
    <w:name w:val="Balloon Text"/>
    <w:basedOn w:val="Normlny"/>
    <w:link w:val="TextbublinyChar"/>
    <w:uiPriority w:val="99"/>
    <w:semiHidden/>
    <w:unhideWhenUsed/>
    <w:rsid w:val="00545600"/>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5600"/>
    <w:rPr>
      <w:rFonts w:ascii="Tahoma" w:hAnsi="Tahoma" w:cs="Tahoma"/>
      <w:sz w:val="16"/>
      <w:szCs w:val="16"/>
    </w:rPr>
  </w:style>
  <w:style w:type="paragraph" w:styleId="Odsekzoznamu">
    <w:name w:val="List Paragraph"/>
    <w:basedOn w:val="Normlny"/>
    <w:link w:val="OdsekzoznamuChar"/>
    <w:uiPriority w:val="34"/>
    <w:qFormat/>
    <w:rsid w:val="00581A29"/>
    <w:pPr>
      <w:ind w:left="720"/>
      <w:contextualSpacing/>
    </w:pPr>
    <w:rPr>
      <w:lang w:val="sk-SK"/>
    </w:rPr>
  </w:style>
  <w:style w:type="paragraph" w:customStyle="1" w:styleId="Zkladnodstavec">
    <w:name w:val="[Základní odstavec]"/>
    <w:basedOn w:val="Normlny"/>
    <w:uiPriority w:val="99"/>
    <w:rsid w:val="00F44D42"/>
    <w:pPr>
      <w:autoSpaceDE w:val="0"/>
      <w:autoSpaceDN w:val="0"/>
      <w:adjustRightInd w:val="0"/>
      <w:spacing w:after="0" w:line="288" w:lineRule="auto"/>
      <w:textAlignment w:val="center"/>
    </w:pPr>
    <w:rPr>
      <w:rFonts w:ascii="Times New Roman" w:eastAsia="Times New Roman" w:hAnsi="Times New Roman"/>
      <w:color w:val="000000"/>
      <w:sz w:val="24"/>
      <w:szCs w:val="24"/>
      <w:lang w:val="cs-CZ" w:eastAsia="sk-SK"/>
    </w:rPr>
  </w:style>
  <w:style w:type="paragraph" w:customStyle="1" w:styleId="CharChar1CharCharChar1">
    <w:name w:val="Char Char1 Char Char Char1"/>
    <w:basedOn w:val="Normlny"/>
    <w:rsid w:val="005C3767"/>
    <w:pPr>
      <w:spacing w:after="0" w:line="240" w:lineRule="auto"/>
    </w:pPr>
    <w:rPr>
      <w:rFonts w:ascii="Times New Roman" w:eastAsia="Times New Roman" w:hAnsi="Times New Roman"/>
      <w:sz w:val="24"/>
      <w:szCs w:val="24"/>
      <w:lang w:val="pl-PL" w:eastAsia="pl-PL"/>
    </w:rPr>
  </w:style>
  <w:style w:type="paragraph" w:customStyle="1" w:styleId="Vodorovnra">
    <w:name w:val="Vodorovná čára"/>
    <w:basedOn w:val="Normlny"/>
    <w:next w:val="Zkladntext"/>
    <w:rsid w:val="00F22986"/>
    <w:pPr>
      <w:widowControl w:val="0"/>
      <w:suppressLineNumbers/>
      <w:pBdr>
        <w:bottom w:val="double" w:sz="1" w:space="0" w:color="808080"/>
      </w:pBdr>
      <w:suppressAutoHyphens/>
      <w:spacing w:after="283" w:line="240" w:lineRule="auto"/>
    </w:pPr>
    <w:rPr>
      <w:rFonts w:ascii="Times New Roman" w:eastAsia="SimSun" w:hAnsi="Times New Roman" w:cs="Mangal"/>
      <w:kern w:val="1"/>
      <w:sz w:val="12"/>
      <w:szCs w:val="12"/>
      <w:lang w:val="sk-SK" w:eastAsia="zh-CN" w:bidi="hi-IN"/>
    </w:rPr>
  </w:style>
  <w:style w:type="paragraph" w:styleId="Zkladntext">
    <w:name w:val="Body Text"/>
    <w:basedOn w:val="Normlny"/>
    <w:link w:val="ZkladntextChar"/>
    <w:uiPriority w:val="99"/>
    <w:semiHidden/>
    <w:unhideWhenUsed/>
    <w:rsid w:val="00F22986"/>
    <w:pPr>
      <w:spacing w:after="120"/>
    </w:pPr>
  </w:style>
  <w:style w:type="character" w:customStyle="1" w:styleId="ZkladntextChar">
    <w:name w:val="Základný text Char"/>
    <w:link w:val="Zkladntext"/>
    <w:uiPriority w:val="99"/>
    <w:semiHidden/>
    <w:rsid w:val="00F22986"/>
    <w:rPr>
      <w:sz w:val="22"/>
      <w:szCs w:val="22"/>
      <w:lang w:val="en-US" w:eastAsia="en-US"/>
    </w:rPr>
  </w:style>
  <w:style w:type="character" w:styleId="Hypertextovprepojenie">
    <w:name w:val="Hyperlink"/>
    <w:uiPriority w:val="99"/>
    <w:unhideWhenUsed/>
    <w:rsid w:val="00F13DFE"/>
    <w:rPr>
      <w:color w:val="0563C1"/>
      <w:u w:val="single"/>
    </w:rPr>
  </w:style>
  <w:style w:type="table" w:styleId="Mriekatabuky">
    <w:name w:val="Table Grid"/>
    <w:basedOn w:val="Normlnatabuka"/>
    <w:uiPriority w:val="59"/>
    <w:rsid w:val="001E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Nazovdokumentu">
    <w:name w:val="ZSE Nazov dokumentu"/>
    <w:basedOn w:val="Normlny"/>
    <w:rsid w:val="007159D8"/>
    <w:pPr>
      <w:spacing w:after="0" w:line="240" w:lineRule="auto"/>
    </w:pPr>
    <w:rPr>
      <w:rFonts w:ascii="TimesCE-Roman" w:eastAsia="Times New Roman" w:hAnsi="TimesCE-Roman"/>
      <w:b/>
      <w:color w:val="FF0000"/>
      <w:sz w:val="20"/>
      <w:szCs w:val="20"/>
      <w:lang w:val="sk-SK"/>
    </w:rPr>
  </w:style>
  <w:style w:type="paragraph" w:styleId="Zarkazkladnhotextu">
    <w:name w:val="Body Text Indent"/>
    <w:basedOn w:val="Normlny"/>
    <w:link w:val="ZarkazkladnhotextuChar"/>
    <w:rsid w:val="007159D8"/>
    <w:pPr>
      <w:spacing w:after="120" w:line="240" w:lineRule="auto"/>
      <w:ind w:left="283"/>
    </w:pPr>
    <w:rPr>
      <w:rFonts w:ascii="TimesCE-Roman" w:eastAsia="Times New Roman" w:hAnsi="TimesCE-Roman"/>
      <w:sz w:val="20"/>
      <w:szCs w:val="20"/>
      <w:lang w:val="sk-SK"/>
    </w:rPr>
  </w:style>
  <w:style w:type="character" w:customStyle="1" w:styleId="ZarkazkladnhotextuChar">
    <w:name w:val="Zarážka základného textu Char"/>
    <w:link w:val="Zarkazkladnhotextu"/>
    <w:rsid w:val="007159D8"/>
    <w:rPr>
      <w:rFonts w:ascii="TimesCE-Roman" w:eastAsia="Times New Roman" w:hAnsi="TimesCE-Roman"/>
      <w:lang w:eastAsia="en-US"/>
    </w:rPr>
  </w:style>
  <w:style w:type="character" w:customStyle="1" w:styleId="OdsekzoznamuChar">
    <w:name w:val="Odsek zoznamu Char"/>
    <w:link w:val="Odsekzoznamu"/>
    <w:uiPriority w:val="34"/>
    <w:rsid w:val="007159D8"/>
    <w:rPr>
      <w:sz w:val="22"/>
      <w:szCs w:val="22"/>
      <w:lang w:eastAsia="en-US"/>
    </w:rPr>
  </w:style>
  <w:style w:type="character" w:styleId="PouitHypertextovPrepojenie">
    <w:name w:val="FollowedHyperlink"/>
    <w:uiPriority w:val="99"/>
    <w:semiHidden/>
    <w:unhideWhenUsed/>
    <w:rsid w:val="007159D8"/>
    <w:rPr>
      <w:color w:val="954F72"/>
      <w:u w:val="single"/>
    </w:rPr>
  </w:style>
  <w:style w:type="character" w:customStyle="1" w:styleId="tl1Char">
    <w:name w:val="Štýl1 Char"/>
    <w:link w:val="tl1"/>
    <w:locked/>
    <w:rsid w:val="00FB1F02"/>
    <w:rPr>
      <w:color w:val="000000"/>
      <w:lang w:eastAsia="en-US"/>
    </w:rPr>
  </w:style>
  <w:style w:type="paragraph" w:customStyle="1" w:styleId="tl1">
    <w:name w:val="Štýl1"/>
    <w:basedOn w:val="Normlny"/>
    <w:link w:val="tl1Char"/>
    <w:rsid w:val="00FB1F02"/>
    <w:pPr>
      <w:spacing w:after="0" w:line="240" w:lineRule="auto"/>
      <w:ind w:left="681" w:hanging="284"/>
    </w:pPr>
    <w:rPr>
      <w:color w:val="000000"/>
      <w:sz w:val="20"/>
      <w:szCs w:val="20"/>
      <w:lang w:val="sk-SK"/>
    </w:rPr>
  </w:style>
  <w:style w:type="paragraph" w:customStyle="1" w:styleId="CharChar1CharCharChar10">
    <w:name w:val="Char Char1 Char Char Char1"/>
    <w:basedOn w:val="Normlny"/>
    <w:rsid w:val="00DF0012"/>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0837">
      <w:bodyDiv w:val="1"/>
      <w:marLeft w:val="0"/>
      <w:marRight w:val="0"/>
      <w:marTop w:val="0"/>
      <w:marBottom w:val="0"/>
      <w:divBdr>
        <w:top w:val="none" w:sz="0" w:space="0" w:color="auto"/>
        <w:left w:val="none" w:sz="0" w:space="0" w:color="auto"/>
        <w:bottom w:val="none" w:sz="0" w:space="0" w:color="auto"/>
        <w:right w:val="none" w:sz="0" w:space="0" w:color="auto"/>
      </w:divBdr>
    </w:div>
    <w:div w:id="1234317354">
      <w:bodyDiv w:val="1"/>
      <w:marLeft w:val="0"/>
      <w:marRight w:val="0"/>
      <w:marTop w:val="0"/>
      <w:marBottom w:val="0"/>
      <w:divBdr>
        <w:top w:val="none" w:sz="0" w:space="0" w:color="auto"/>
        <w:left w:val="none" w:sz="0" w:space="0" w:color="auto"/>
        <w:bottom w:val="none" w:sz="0" w:space="0" w:color="auto"/>
        <w:right w:val="none" w:sz="0" w:space="0" w:color="auto"/>
      </w:divBdr>
    </w:div>
    <w:div w:id="1445151199">
      <w:bodyDiv w:val="1"/>
      <w:marLeft w:val="0"/>
      <w:marRight w:val="0"/>
      <w:marTop w:val="0"/>
      <w:marBottom w:val="0"/>
      <w:divBdr>
        <w:top w:val="none" w:sz="0" w:space="0" w:color="auto"/>
        <w:left w:val="none" w:sz="0" w:space="0" w:color="auto"/>
        <w:bottom w:val="none" w:sz="0" w:space="0" w:color="auto"/>
        <w:right w:val="none" w:sz="0" w:space="0" w:color="auto"/>
      </w:divBdr>
    </w:div>
    <w:div w:id="21180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okte.s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elektrina@bmenerg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65ff0-2297-4fe2-88ee-8f750dc2ba27">
      <Terms xmlns="http://schemas.microsoft.com/office/infopath/2007/PartnerControls"/>
    </lcf76f155ced4ddcb4097134ff3c332f>
    <TaxCatchAll xmlns="28369b70-a535-4b8b-9253-f5ef579058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C47504E30D5354096F626F37EFE244B" ma:contentTypeVersion="18" ma:contentTypeDescription="Umožňuje vytvoriť nový dokument." ma:contentTypeScope="" ma:versionID="55b11e3b42f6e1bb029d235e62a06dd6">
  <xsd:schema xmlns:xsd="http://www.w3.org/2001/XMLSchema" xmlns:xs="http://www.w3.org/2001/XMLSchema" xmlns:p="http://schemas.microsoft.com/office/2006/metadata/properties" xmlns:ns2="41265ff0-2297-4fe2-88ee-8f750dc2ba27" xmlns:ns3="28369b70-a535-4b8b-9253-f5ef579058c3" targetNamespace="http://schemas.microsoft.com/office/2006/metadata/properties" ma:root="true" ma:fieldsID="b03047aa744f3f0442fde209331a8608" ns2:_="" ns3:_="">
    <xsd:import namespace="41265ff0-2297-4fe2-88ee-8f750dc2ba27"/>
    <xsd:import namespace="28369b70-a535-4b8b-9253-f5ef57905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65ff0-2297-4fe2-88ee-8f750dc2b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cc79e0f-fb92-499e-8ba0-600d13d2ce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69b70-a535-4b8b-9253-f5ef579058c3"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9a33ba4-4159-4c92-a7a7-a7cd0f07e50c}" ma:internalName="TaxCatchAll" ma:showField="CatchAllData" ma:web="28369b70-a535-4b8b-9253-f5ef57905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3A60D-CEEF-4F72-B5B1-90672C81DAF9}">
  <ds:schemaRefs>
    <ds:schemaRef ds:uri="http://schemas.microsoft.com/office/2006/metadata/properties"/>
    <ds:schemaRef ds:uri="http://schemas.microsoft.com/office/infopath/2007/PartnerControls"/>
    <ds:schemaRef ds:uri="41265ff0-2297-4fe2-88ee-8f750dc2ba27"/>
    <ds:schemaRef ds:uri="28369b70-a535-4b8b-9253-f5ef579058c3"/>
  </ds:schemaRefs>
</ds:datastoreItem>
</file>

<file path=customXml/itemProps2.xml><?xml version="1.0" encoding="utf-8"?>
<ds:datastoreItem xmlns:ds="http://schemas.openxmlformats.org/officeDocument/2006/customXml" ds:itemID="{693F6131-2856-4AA4-A02D-9722344F52AD}">
  <ds:schemaRefs>
    <ds:schemaRef ds:uri="http://schemas.openxmlformats.org/officeDocument/2006/bibliography"/>
  </ds:schemaRefs>
</ds:datastoreItem>
</file>

<file path=customXml/itemProps3.xml><?xml version="1.0" encoding="utf-8"?>
<ds:datastoreItem xmlns:ds="http://schemas.openxmlformats.org/officeDocument/2006/customXml" ds:itemID="{85680821-F465-4406-A417-0E46B398984F}">
  <ds:schemaRefs>
    <ds:schemaRef ds:uri="http://schemas.microsoft.com/office/2006/metadata/longProperties"/>
  </ds:schemaRefs>
</ds:datastoreItem>
</file>

<file path=customXml/itemProps4.xml><?xml version="1.0" encoding="utf-8"?>
<ds:datastoreItem xmlns:ds="http://schemas.openxmlformats.org/officeDocument/2006/customXml" ds:itemID="{AC576428-BBBF-439E-A494-FD9042B9E492}">
  <ds:schemaRefs>
    <ds:schemaRef ds:uri="http://schemas.microsoft.com/office/2006/metadata/longProperties"/>
  </ds:schemaRefs>
</ds:datastoreItem>
</file>

<file path=customXml/itemProps5.xml><?xml version="1.0" encoding="utf-8"?>
<ds:datastoreItem xmlns:ds="http://schemas.openxmlformats.org/officeDocument/2006/customXml" ds:itemID="{9267C658-A1A4-4846-B542-3525D4287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65ff0-2297-4fe2-88ee-8f750dc2ba27"/>
    <ds:schemaRef ds:uri="28369b70-a535-4b8b-9253-f5ef57905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7E3F5C-6E1C-478E-A307-3C157FCB2736}">
  <ds:schemaRefs>
    <ds:schemaRef ds:uri="http://schemas.microsoft.com/sharepoint/v3/contenttype/forms"/>
  </ds:schemaRefs>
</ds:datastoreItem>
</file>

<file path=customXml/itemProps7.xml><?xml version="1.0" encoding="utf-8"?>
<ds:datastoreItem xmlns:ds="http://schemas.openxmlformats.org/officeDocument/2006/customXml" ds:itemID="{ECC88845-1D14-4E3D-94C1-9AF1C0499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548</Words>
  <Characters>3127</Characters>
  <Application>Microsoft Office Word</Application>
  <DocSecurity>0</DocSecurity>
  <Lines>26</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3668</CharactersWithSpaces>
  <SharedDoc>false</SharedDoc>
  <HLinks>
    <vt:vector size="12" baseType="variant">
      <vt:variant>
        <vt:i4>7667757</vt:i4>
      </vt:variant>
      <vt:variant>
        <vt:i4>0</vt:i4>
      </vt:variant>
      <vt:variant>
        <vt:i4>0</vt:i4>
      </vt:variant>
      <vt:variant>
        <vt:i4>5</vt:i4>
      </vt:variant>
      <vt:variant>
        <vt:lpwstr>http://www.okte.sk/</vt:lpwstr>
      </vt:variant>
      <vt:variant>
        <vt:lpwstr/>
      </vt:variant>
      <vt:variant>
        <vt:i4>6160490</vt:i4>
      </vt:variant>
      <vt:variant>
        <vt:i4>0</vt:i4>
      </vt:variant>
      <vt:variant>
        <vt:i4>0</vt:i4>
      </vt:variant>
      <vt:variant>
        <vt:i4>5</vt:i4>
      </vt:variant>
      <vt:variant>
        <vt:lpwstr>mailto:elektrina@bmenergy.sk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Stugel</dc:creator>
  <cp:keywords/>
  <cp:lastModifiedBy>Radoslav Mulik</cp:lastModifiedBy>
  <cp:revision>39</cp:revision>
  <cp:lastPrinted>2021-11-12T15:17:00Z</cp:lastPrinted>
  <dcterms:created xsi:type="dcterms:W3CDTF">2024-03-07T09:31:00Z</dcterms:created>
  <dcterms:modified xsi:type="dcterms:W3CDTF">2024-03-14T13:30:00Z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6321000.00000000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